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A1C64" w14:textId="77777777" w:rsidR="005F640A" w:rsidRDefault="00347F97" w:rsidP="00313370">
      <w:pPr>
        <w:jc w:val="center"/>
      </w:pPr>
      <w:r>
        <w:rPr>
          <w:noProof/>
          <w:lang w:eastAsia="en-GB"/>
        </w:rPr>
        <w:drawing>
          <wp:inline distT="0" distB="0" distL="0" distR="0" wp14:anchorId="4D552F1F" wp14:editId="57FD8C2E">
            <wp:extent cx="5298908" cy="4187105"/>
            <wp:effectExtent l="19050" t="0" r="0" b="0"/>
            <wp:docPr id="1" name="Picture 1" descr="C:\Users\John\Documents\Catherine's Briefcase\The Grace Charity\End of Life Warning booklet\NO HYDRATION NO LIFE\Front cover graphic\FINAL cover graphic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Documents\Catherine's Briefcase\The Grace Charity\End of Life Warning booklet\NO HYDRATION NO LIFE\Front cover graphic\FINAL cover graphic FINAL.png"/>
                    <pic:cNvPicPr>
                      <a:picLocks noChangeAspect="1" noChangeArrowheads="1"/>
                    </pic:cNvPicPr>
                  </pic:nvPicPr>
                  <pic:blipFill>
                    <a:blip r:embed="rId6" cstate="print"/>
                    <a:srcRect/>
                    <a:stretch>
                      <a:fillRect/>
                    </a:stretch>
                  </pic:blipFill>
                  <pic:spPr bwMode="auto">
                    <a:xfrm>
                      <a:off x="0" y="0"/>
                      <a:ext cx="5304841" cy="4191793"/>
                    </a:xfrm>
                    <a:prstGeom prst="rect">
                      <a:avLst/>
                    </a:prstGeom>
                    <a:noFill/>
                    <a:ln w="9525">
                      <a:noFill/>
                      <a:miter lim="800000"/>
                      <a:headEnd/>
                      <a:tailEnd/>
                    </a:ln>
                  </pic:spPr>
                </pic:pic>
              </a:graphicData>
            </a:graphic>
          </wp:inline>
        </w:drawing>
      </w:r>
    </w:p>
    <w:p w14:paraId="528FDC1A" w14:textId="77777777" w:rsidR="00313370" w:rsidRDefault="00313370" w:rsidP="00313370">
      <w:pPr>
        <w:spacing w:line="240" w:lineRule="auto"/>
        <w:jc w:val="center"/>
        <w:rPr>
          <w:rFonts w:ascii="Book Antiqua" w:hAnsi="Book Antiqua"/>
          <w:b/>
          <w:noProof/>
          <w:color w:val="0070C0"/>
          <w:sz w:val="52"/>
          <w:szCs w:val="52"/>
          <w:lang w:eastAsia="en-GB"/>
        </w:rPr>
      </w:pPr>
    </w:p>
    <w:p w14:paraId="73FBBEFD" w14:textId="77777777" w:rsidR="00313370" w:rsidRPr="00053717" w:rsidRDefault="00313370" w:rsidP="00313370">
      <w:pPr>
        <w:spacing w:line="240" w:lineRule="auto"/>
        <w:jc w:val="center"/>
        <w:rPr>
          <w:rFonts w:ascii="Book Antiqua" w:hAnsi="Book Antiqua"/>
          <w:b/>
          <w:noProof/>
          <w:color w:val="0070C0"/>
          <w:sz w:val="52"/>
          <w:szCs w:val="52"/>
          <w:lang w:eastAsia="en-GB"/>
        </w:rPr>
      </w:pPr>
      <w:r w:rsidRPr="00053717">
        <w:rPr>
          <w:rFonts w:ascii="Book Antiqua" w:hAnsi="Book Antiqua"/>
          <w:b/>
          <w:noProof/>
          <w:color w:val="0070C0"/>
          <w:sz w:val="52"/>
          <w:szCs w:val="52"/>
          <w:lang w:eastAsia="en-GB"/>
        </w:rPr>
        <w:t>NO  HYDRATION</w:t>
      </w:r>
    </w:p>
    <w:p w14:paraId="1BDADF2E" w14:textId="77777777" w:rsidR="00313370" w:rsidRPr="00053717" w:rsidRDefault="00313370" w:rsidP="00313370">
      <w:pPr>
        <w:spacing w:line="240" w:lineRule="auto"/>
        <w:jc w:val="center"/>
        <w:rPr>
          <w:rFonts w:ascii="Book Antiqua" w:hAnsi="Book Antiqua"/>
          <w:b/>
          <w:noProof/>
          <w:color w:val="0070C0"/>
          <w:sz w:val="52"/>
          <w:szCs w:val="52"/>
          <w:lang w:eastAsia="en-GB"/>
        </w:rPr>
      </w:pPr>
      <w:r w:rsidRPr="00053717">
        <w:rPr>
          <w:rFonts w:ascii="Book Antiqua" w:hAnsi="Book Antiqua"/>
          <w:b/>
          <w:noProof/>
          <w:color w:val="0070C0"/>
          <w:sz w:val="52"/>
          <w:szCs w:val="52"/>
          <w:lang w:eastAsia="en-GB"/>
        </w:rPr>
        <w:t>NO  LIFE</w:t>
      </w:r>
    </w:p>
    <w:p w14:paraId="36B0B783" w14:textId="77777777" w:rsidR="00313370" w:rsidRDefault="00313370" w:rsidP="00313370">
      <w:pPr>
        <w:spacing w:after="0"/>
        <w:jc w:val="center"/>
        <w:rPr>
          <w:b/>
          <w:color w:val="0F243E" w:themeColor="text2" w:themeShade="80"/>
          <w:sz w:val="36"/>
          <w:szCs w:val="36"/>
        </w:rPr>
      </w:pPr>
    </w:p>
    <w:p w14:paraId="347CE13A" w14:textId="77777777" w:rsidR="00313370" w:rsidRDefault="00313370" w:rsidP="00313370">
      <w:pPr>
        <w:spacing w:after="0"/>
        <w:jc w:val="center"/>
        <w:rPr>
          <w:b/>
          <w:color w:val="0F243E" w:themeColor="text2" w:themeShade="80"/>
          <w:sz w:val="36"/>
          <w:szCs w:val="36"/>
        </w:rPr>
      </w:pPr>
    </w:p>
    <w:p w14:paraId="35D9303C" w14:textId="77777777" w:rsidR="00313370" w:rsidRPr="004808AD" w:rsidRDefault="00313370" w:rsidP="00313370">
      <w:pPr>
        <w:spacing w:after="0"/>
        <w:jc w:val="center"/>
        <w:rPr>
          <w:b/>
          <w:color w:val="0F243E" w:themeColor="text2" w:themeShade="80"/>
          <w:sz w:val="36"/>
          <w:szCs w:val="36"/>
        </w:rPr>
      </w:pPr>
      <w:r w:rsidRPr="004808AD">
        <w:rPr>
          <w:b/>
          <w:color w:val="0F243E" w:themeColor="text2" w:themeShade="80"/>
          <w:sz w:val="36"/>
          <w:szCs w:val="36"/>
        </w:rPr>
        <w:t>Information to protect</w:t>
      </w:r>
    </w:p>
    <w:p w14:paraId="681C302E" w14:textId="77777777" w:rsidR="00313370" w:rsidRPr="004808AD" w:rsidRDefault="00313370" w:rsidP="00313370">
      <w:pPr>
        <w:spacing w:after="0"/>
        <w:jc w:val="center"/>
        <w:rPr>
          <w:b/>
          <w:color w:val="0F243E" w:themeColor="text2" w:themeShade="80"/>
          <w:sz w:val="36"/>
          <w:szCs w:val="36"/>
        </w:rPr>
      </w:pPr>
      <w:r w:rsidRPr="004808AD">
        <w:rPr>
          <w:b/>
          <w:color w:val="0F243E" w:themeColor="text2" w:themeShade="80"/>
          <w:sz w:val="36"/>
          <w:szCs w:val="36"/>
        </w:rPr>
        <w:t>vulnerable patients from</w:t>
      </w:r>
    </w:p>
    <w:p w14:paraId="1C71525E" w14:textId="77777777" w:rsidR="00313370" w:rsidRDefault="00313370" w:rsidP="00313370">
      <w:pPr>
        <w:spacing w:after="0"/>
        <w:jc w:val="center"/>
        <w:rPr>
          <w:b/>
          <w:color w:val="0F243E" w:themeColor="text2" w:themeShade="80"/>
          <w:sz w:val="36"/>
          <w:szCs w:val="36"/>
        </w:rPr>
      </w:pPr>
      <w:r w:rsidRPr="004808AD">
        <w:rPr>
          <w:b/>
          <w:color w:val="0F243E" w:themeColor="text2" w:themeShade="80"/>
          <w:sz w:val="36"/>
          <w:szCs w:val="36"/>
        </w:rPr>
        <w:t>involuntary euthanasia</w:t>
      </w:r>
    </w:p>
    <w:p w14:paraId="4271AB14" w14:textId="77777777" w:rsidR="00347F97" w:rsidRDefault="00347F97" w:rsidP="00313370">
      <w:pPr>
        <w:spacing w:after="0"/>
        <w:jc w:val="center"/>
        <w:rPr>
          <w:b/>
          <w:color w:val="0F243E" w:themeColor="text2" w:themeShade="80"/>
          <w:sz w:val="36"/>
          <w:szCs w:val="36"/>
        </w:rPr>
      </w:pPr>
    </w:p>
    <w:p w14:paraId="1DBCEA52" w14:textId="77777777" w:rsidR="00347F97" w:rsidRPr="004808AD" w:rsidRDefault="00347F97" w:rsidP="00313370">
      <w:pPr>
        <w:spacing w:after="0"/>
        <w:jc w:val="center"/>
        <w:rPr>
          <w:color w:val="0F243E" w:themeColor="text2" w:themeShade="80"/>
        </w:rPr>
      </w:pPr>
    </w:p>
    <w:p w14:paraId="73760D46" w14:textId="77777777" w:rsidR="00313370" w:rsidRDefault="00313370"/>
    <w:p w14:paraId="12E82D32" w14:textId="77777777" w:rsidR="00313370" w:rsidRDefault="00313370"/>
    <w:p w14:paraId="701A86E4" w14:textId="77777777" w:rsidR="00286661" w:rsidRDefault="00286661"/>
    <w:p w14:paraId="44B5CDB7" w14:textId="77777777" w:rsidR="00286661" w:rsidRDefault="00286661"/>
    <w:p w14:paraId="0DA1CD1C" w14:textId="77777777" w:rsidR="00286661" w:rsidRDefault="00286661" w:rsidP="00313370">
      <w:pPr>
        <w:rPr>
          <w:rFonts w:cs="Arial"/>
          <w:sz w:val="20"/>
          <w:szCs w:val="20"/>
        </w:rPr>
      </w:pPr>
    </w:p>
    <w:p w14:paraId="1F0A017F" w14:textId="77777777" w:rsidR="00EF11A1" w:rsidRPr="004D1920" w:rsidRDefault="00EF11A1" w:rsidP="00EF11A1">
      <w:pPr>
        <w:rPr>
          <w:rFonts w:cs="Arial"/>
          <w:color w:val="000066"/>
          <w:sz w:val="24"/>
          <w:szCs w:val="24"/>
        </w:rPr>
      </w:pPr>
      <w:r w:rsidRPr="004D1920">
        <w:rPr>
          <w:rFonts w:cs="Arial"/>
          <w:color w:val="000066"/>
          <w:sz w:val="24"/>
          <w:szCs w:val="24"/>
        </w:rPr>
        <w:lastRenderedPageBreak/>
        <w:t xml:space="preserve">Vulnerable patients can be in danger at hospitals, hospices and care/nursing homes. </w:t>
      </w:r>
    </w:p>
    <w:p w14:paraId="5DE82247" w14:textId="7AFE848B" w:rsidR="00EF11A1" w:rsidRPr="004D1920" w:rsidRDefault="00EF11A1" w:rsidP="00EF11A1">
      <w:pPr>
        <w:rPr>
          <w:rFonts w:cs="Arial"/>
          <w:color w:val="000066"/>
          <w:sz w:val="24"/>
          <w:szCs w:val="24"/>
        </w:rPr>
      </w:pPr>
      <w:r w:rsidRPr="004D1920">
        <w:rPr>
          <w:rFonts w:cs="Arial"/>
          <w:color w:val="000066"/>
          <w:sz w:val="24"/>
          <w:szCs w:val="24"/>
        </w:rPr>
        <w:t xml:space="preserve">The LCP (Liverpool Care Pathway) was abolished in 2014 but feedback has shown that it’s still continuing under the guise of EOL (End-of-Life) [1].  The LCP was stopped because patients were judged as ‘dying’ when they were not dying. The hallmarks of the LCP include the following: patients made unnecessarily Nil By Mouth, sedated, having fluids withdrawn, having life-saving and prescription medicine stopped. Once they were judged as ‘dying’, subsequent decisions made would cause their death. This is involuntary euthanasia. </w:t>
      </w:r>
    </w:p>
    <w:p w14:paraId="2D77E007" w14:textId="77777777" w:rsidR="00EF11A1" w:rsidRPr="004D1920" w:rsidRDefault="00EF11A1" w:rsidP="00EF11A1">
      <w:pPr>
        <w:rPr>
          <w:rFonts w:cs="Arial"/>
          <w:color w:val="000066"/>
          <w:sz w:val="24"/>
          <w:szCs w:val="24"/>
        </w:rPr>
      </w:pPr>
      <w:r w:rsidRPr="004D1920">
        <w:rPr>
          <w:rFonts w:cs="Arial"/>
          <w:color w:val="000066"/>
          <w:sz w:val="24"/>
          <w:szCs w:val="24"/>
        </w:rPr>
        <w:t xml:space="preserve">Although standard practice, End-of-Life pathways are not natural deaths. </w:t>
      </w:r>
    </w:p>
    <w:p w14:paraId="30535E1C" w14:textId="2DE4C129" w:rsidR="00EF11A1" w:rsidRDefault="00EF11A1" w:rsidP="00EF11A1">
      <w:pPr>
        <w:rPr>
          <w:rFonts w:cs="Arial"/>
          <w:b/>
          <w:bCs/>
          <w:color w:val="6B1A74"/>
          <w:sz w:val="20"/>
          <w:szCs w:val="20"/>
          <w:u w:val="single"/>
        </w:rPr>
      </w:pPr>
      <w:r w:rsidRPr="004D1920">
        <w:rPr>
          <w:rFonts w:cs="Arial"/>
          <w:color w:val="000066"/>
          <w:sz w:val="24"/>
          <w:szCs w:val="24"/>
        </w:rPr>
        <w:t>It usually depends on the medical team treating the patient if they practise involuntary euthanasia. Involuntary euthanasia is illegal in the UK but hospitals, hospices and care homes nevertheless practise it. This could be due to an interpretation of the NICE Guidelines (National Institute for Health and Care Excellence). End-of-Life can mean any of the following: people judged as dying within 12 months; people with advanced, progressive, incurable conditions and people with life-threatening conditions.[2] Unfortunately this leaves room for poor judgment whereby a patient’s general frailty or old age might be considered, wrongly, as a reason to end their life. [3]</w:t>
      </w:r>
    </w:p>
    <w:p w14:paraId="1446B847" w14:textId="77777777" w:rsidR="00EF11A1" w:rsidRDefault="00EF11A1" w:rsidP="00EF11A1">
      <w:pPr>
        <w:rPr>
          <w:rFonts w:cs="Arial"/>
          <w:b/>
          <w:bCs/>
          <w:color w:val="6B1A74"/>
          <w:sz w:val="20"/>
          <w:szCs w:val="20"/>
          <w:u w:val="single"/>
        </w:rPr>
      </w:pPr>
    </w:p>
    <w:p w14:paraId="7A1CE7D1" w14:textId="6142C927" w:rsidR="00EF11A1" w:rsidRPr="004D1920" w:rsidRDefault="00EF11A1" w:rsidP="00EF11A1">
      <w:pPr>
        <w:rPr>
          <w:rFonts w:cs="Arial"/>
          <w:color w:val="002060"/>
          <w:sz w:val="24"/>
          <w:szCs w:val="24"/>
        </w:rPr>
      </w:pPr>
      <w:r w:rsidRPr="004D1920">
        <w:rPr>
          <w:rFonts w:cs="Arial"/>
          <w:b/>
          <w:bCs/>
          <w:color w:val="6B1A74"/>
          <w:sz w:val="24"/>
          <w:szCs w:val="24"/>
          <w:u w:val="single"/>
        </w:rPr>
        <w:t>THINGS YOU SHOULD KNOW:</w:t>
      </w:r>
      <w:r w:rsidRPr="004D1920">
        <w:rPr>
          <w:rFonts w:cs="Arial"/>
          <w:b/>
          <w:bCs/>
          <w:color w:val="6B1A74"/>
          <w:sz w:val="24"/>
          <w:szCs w:val="24"/>
        </w:rPr>
        <w:t xml:space="preserve">  </w:t>
      </w:r>
      <w:r w:rsidRPr="004D1920">
        <w:rPr>
          <w:rFonts w:cs="Arial"/>
          <w:color w:val="002060"/>
          <w:sz w:val="24"/>
          <w:szCs w:val="24"/>
        </w:rPr>
        <w:t xml:space="preserve">Dehydration can set in very quickly. If a patient is not receiving enough fluid either orally, via drip (IV), or tube to the stomach, then they will die. (Subcutaneous fluids via a drip under the skin are generally only suitable as emergency treatment, not for long-term active treatment. If used, the needle must be placed in a different site every 24 hrs, else is prone to infection from build-up of fluid under the needle.) </w:t>
      </w:r>
    </w:p>
    <w:p w14:paraId="41F62AB2" w14:textId="77777777" w:rsidR="00EF11A1" w:rsidRPr="004D1920" w:rsidRDefault="00EF11A1" w:rsidP="00EF11A1">
      <w:pPr>
        <w:rPr>
          <w:rFonts w:cs="Arial"/>
          <w:color w:val="002060"/>
          <w:sz w:val="24"/>
          <w:szCs w:val="24"/>
        </w:rPr>
      </w:pPr>
      <w:r w:rsidRPr="004D1920">
        <w:rPr>
          <w:rFonts w:cs="Arial"/>
          <w:color w:val="002060"/>
          <w:sz w:val="24"/>
          <w:szCs w:val="24"/>
        </w:rPr>
        <w:t xml:space="preserve">A person needs at least two litres of fluid intake daily. Diabetics and men may need more than two litres; similarly if the patient has had excessive loose stools or urine loss.  </w:t>
      </w:r>
    </w:p>
    <w:p w14:paraId="1BD0CC8D" w14:textId="77777777" w:rsidR="00EF11A1" w:rsidRPr="004D1920" w:rsidRDefault="00EF11A1" w:rsidP="00EF11A1">
      <w:pPr>
        <w:rPr>
          <w:rFonts w:cs="Arial"/>
          <w:sz w:val="24"/>
          <w:szCs w:val="24"/>
        </w:rPr>
      </w:pPr>
      <w:r w:rsidRPr="004D1920">
        <w:rPr>
          <w:rFonts w:cs="Arial"/>
          <w:color w:val="002060"/>
          <w:sz w:val="24"/>
          <w:szCs w:val="24"/>
        </w:rPr>
        <w:t>Be aware of any machine which can contribute to dehydration e.g. a BiPAP or CPAP machines. Two litres of fluid daily is minimum if on a BiPAP or CPAP machine due to drying out effects.</w:t>
      </w:r>
    </w:p>
    <w:p w14:paraId="3444078D" w14:textId="77777777" w:rsidR="00EF11A1" w:rsidRPr="004D1920" w:rsidRDefault="00EF11A1" w:rsidP="00EF11A1">
      <w:pPr>
        <w:rPr>
          <w:rFonts w:cs="Arial"/>
          <w:color w:val="002060"/>
          <w:sz w:val="24"/>
          <w:szCs w:val="24"/>
        </w:rPr>
      </w:pPr>
      <w:r w:rsidRPr="004D1920">
        <w:rPr>
          <w:rFonts w:cs="Arial"/>
          <w:color w:val="002060"/>
          <w:sz w:val="24"/>
          <w:szCs w:val="24"/>
        </w:rPr>
        <w:t xml:space="preserve">Keep the patient hydrated regularly. It is never too late to hydrate: it can save someone from dying from dehydration even in the last minutes. </w:t>
      </w:r>
    </w:p>
    <w:p w14:paraId="30E28D42" w14:textId="77777777" w:rsidR="00EF11A1" w:rsidRPr="004D1920" w:rsidRDefault="00EF11A1" w:rsidP="00EF11A1">
      <w:pPr>
        <w:rPr>
          <w:rFonts w:cs="Arial"/>
          <w:b/>
          <w:i/>
          <w:color w:val="002060"/>
          <w:sz w:val="24"/>
          <w:szCs w:val="24"/>
        </w:rPr>
      </w:pPr>
      <w:r w:rsidRPr="004D1920">
        <w:rPr>
          <w:rFonts w:cs="Arial"/>
          <w:b/>
          <w:i/>
          <w:color w:val="002060"/>
          <w:sz w:val="24"/>
          <w:szCs w:val="24"/>
        </w:rPr>
        <w:t>Fluid and food are now seen as ‘treatment’. So, if doctors tell you that treatment will be stopped for a patient, that could well mean stopping nutrition and fluid intake as well, [4] including assisted/artificial hydration and nutrition.</w:t>
      </w:r>
    </w:p>
    <w:p w14:paraId="7E51D911" w14:textId="77777777" w:rsidR="00EF11A1" w:rsidRPr="004D1920" w:rsidRDefault="00EF11A1" w:rsidP="00EF11A1">
      <w:pPr>
        <w:rPr>
          <w:rFonts w:cs="Arial"/>
          <w:color w:val="002060"/>
          <w:sz w:val="24"/>
          <w:szCs w:val="24"/>
        </w:rPr>
      </w:pPr>
      <w:r w:rsidRPr="004D1920">
        <w:rPr>
          <w:rFonts w:cs="Arial"/>
          <w:color w:val="002060"/>
          <w:sz w:val="24"/>
          <w:szCs w:val="24"/>
        </w:rPr>
        <w:t xml:space="preserve">A doctor has the right to stop active treatment whenever they want, without informing the patient or their next-of-kin, so this could include stopping nutrition and fluid.  This is due to the Mental Capacity Act, when staff are entitled to make decisions on behalf of the patient. </w:t>
      </w:r>
    </w:p>
    <w:p w14:paraId="32B16DE0" w14:textId="1B1625B2" w:rsidR="00EF11A1" w:rsidRPr="004D1920" w:rsidRDefault="00EF11A1" w:rsidP="00EF11A1">
      <w:pPr>
        <w:rPr>
          <w:rFonts w:cs="Arial"/>
          <w:b/>
          <w:color w:val="002060"/>
          <w:sz w:val="24"/>
          <w:szCs w:val="24"/>
        </w:rPr>
      </w:pPr>
      <w:r w:rsidRPr="004D1920">
        <w:rPr>
          <w:color w:val="000066"/>
          <w:sz w:val="24"/>
          <w:szCs w:val="24"/>
        </w:rPr>
        <w:t xml:space="preserve">Power of Attorney (Healthcare) can be helpful to speak up for the patient. Make sure a copy of this is in the patient’s medical notes. </w:t>
      </w:r>
    </w:p>
    <w:p w14:paraId="5BD1087C" w14:textId="77777777" w:rsidR="00EF11A1" w:rsidRPr="004D1920" w:rsidRDefault="00EF11A1" w:rsidP="00EF11A1">
      <w:pPr>
        <w:rPr>
          <w:rFonts w:cs="Arial"/>
          <w:color w:val="002060"/>
          <w:sz w:val="24"/>
          <w:szCs w:val="24"/>
        </w:rPr>
      </w:pPr>
      <w:r w:rsidRPr="004D1920">
        <w:rPr>
          <w:rFonts w:cs="Arial"/>
          <w:color w:val="002060"/>
          <w:sz w:val="24"/>
          <w:szCs w:val="24"/>
        </w:rPr>
        <w:lastRenderedPageBreak/>
        <w:t xml:space="preserve">You might be told that it’s kinder for the patient to no longer have any more fluid as they have too much fluid in them already; also that more fluid will be bad for their kidneys, or heart etc. But withdrawing assisted hydration will end in death if the patient is unable to swallow liquids. </w:t>
      </w:r>
    </w:p>
    <w:p w14:paraId="02590BD5" w14:textId="74A13F34" w:rsidR="004D1920" w:rsidRDefault="00EF11A1" w:rsidP="00EF11A1">
      <w:pPr>
        <w:rPr>
          <w:rFonts w:cs="Arial"/>
          <w:color w:val="002060"/>
          <w:sz w:val="24"/>
          <w:szCs w:val="24"/>
        </w:rPr>
      </w:pPr>
      <w:r w:rsidRPr="004D1920">
        <w:rPr>
          <w:rFonts w:cs="Arial"/>
          <w:color w:val="002060"/>
          <w:sz w:val="24"/>
          <w:szCs w:val="24"/>
        </w:rPr>
        <w:t>It is not uncommon for patients to have oedema (swelling from fluid retention) and yet still be dehydrated.[5] Fluid retention doesn’t necessarily mean the person is getting too much fluid - it may mean the fluid isn’t where the person needs it. This can occur in conditions such as diabetes, heat stroke, diarrhoea, vomiting and heart failure. Fluid retention isn’t necessarily a sign that someone is ‘dying’.</w:t>
      </w:r>
    </w:p>
    <w:p w14:paraId="622D9FC2" w14:textId="77777777" w:rsidR="004D1920" w:rsidRPr="004D1920" w:rsidRDefault="004D1920" w:rsidP="00EF11A1">
      <w:pPr>
        <w:rPr>
          <w:rFonts w:cs="Arial"/>
          <w:color w:val="002060"/>
          <w:sz w:val="24"/>
          <w:szCs w:val="24"/>
        </w:rPr>
      </w:pPr>
    </w:p>
    <w:p w14:paraId="02C40AD4" w14:textId="1398D4A0" w:rsidR="00EF11A1" w:rsidRPr="004D1920" w:rsidRDefault="00EF11A1" w:rsidP="004D1920">
      <w:pPr>
        <w:jc w:val="center"/>
        <w:rPr>
          <w:rFonts w:cs="Arial"/>
          <w:b/>
          <w:i/>
          <w:color w:val="002060"/>
          <w:sz w:val="24"/>
          <w:szCs w:val="24"/>
        </w:rPr>
      </w:pPr>
      <w:r w:rsidRPr="004D1920">
        <w:rPr>
          <w:rFonts w:cs="Arial"/>
          <w:b/>
          <w:color w:val="002060"/>
          <w:sz w:val="24"/>
          <w:szCs w:val="24"/>
        </w:rPr>
        <w:t>Dehydration and dying are not the same thing. Dehydration can and should be treated or else it will kill.</w:t>
      </w:r>
    </w:p>
    <w:p w14:paraId="35E02462" w14:textId="77777777" w:rsidR="00EF11A1" w:rsidRPr="00D67833" w:rsidRDefault="00EF11A1" w:rsidP="00EF11A1">
      <w:pPr>
        <w:rPr>
          <w:rFonts w:cs="Arial"/>
          <w:color w:val="002060"/>
          <w:sz w:val="20"/>
          <w:szCs w:val="20"/>
        </w:rPr>
      </w:pPr>
      <w:r>
        <w:rPr>
          <w:rFonts w:cs="Arial"/>
          <w:noProof/>
          <w:color w:val="002060"/>
          <w:sz w:val="20"/>
          <w:szCs w:val="20"/>
          <w:lang w:eastAsia="en-GB"/>
        </w:rPr>
        <w:drawing>
          <wp:inline distT="0" distB="0" distL="0" distR="0" wp14:anchorId="6CE6031F" wp14:editId="4F12AAB5">
            <wp:extent cx="2705100" cy="1743750"/>
            <wp:effectExtent l="19050" t="0" r="0" b="0"/>
            <wp:docPr id="2" name="Picture 1" descr="C:\Users\John\Documents\Catherine's Briefcase\The Grace Charity\End of Life Warning booklet\NO HYDRATION NO LIFE\hands\Pinch test Double images -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Documents\Catherine's Briefcase\The Grace Charity\End of Life Warning booklet\NO HYDRATION NO LIFE\hands\Pinch test Double images - FINAL.JPG"/>
                    <pic:cNvPicPr>
                      <a:picLocks noChangeAspect="1" noChangeArrowheads="1"/>
                    </pic:cNvPicPr>
                  </pic:nvPicPr>
                  <pic:blipFill>
                    <a:blip r:embed="rId7" cstate="print"/>
                    <a:srcRect/>
                    <a:stretch>
                      <a:fillRect/>
                    </a:stretch>
                  </pic:blipFill>
                  <pic:spPr bwMode="auto">
                    <a:xfrm>
                      <a:off x="0" y="0"/>
                      <a:ext cx="2709519" cy="1746598"/>
                    </a:xfrm>
                    <a:prstGeom prst="rect">
                      <a:avLst/>
                    </a:prstGeom>
                    <a:noFill/>
                    <a:ln w="9525">
                      <a:noFill/>
                      <a:miter lim="800000"/>
                      <a:headEnd/>
                      <a:tailEnd/>
                    </a:ln>
                  </pic:spPr>
                </pic:pic>
              </a:graphicData>
            </a:graphic>
          </wp:inline>
        </w:drawing>
      </w:r>
      <w:r w:rsidR="00000000">
        <w:rPr>
          <w:noProof/>
          <w:sz w:val="24"/>
          <w:szCs w:val="24"/>
          <w:lang w:eastAsia="en-GB"/>
        </w:rPr>
        <w:pict w14:anchorId="1F32AB4D">
          <v:shapetype id="_x0000_t202" coordsize="21600,21600" o:spt="202" path="m,l,21600r21600,l21600,xe">
            <v:stroke joinstyle="miter"/>
            <v:path gradientshapeok="t" o:connecttype="rect"/>
          </v:shapetype>
          <v:shape id="_x0000_s1059" type="#_x0000_t202" style="position:absolute;margin-left:215.1pt;margin-top:16.75pt;width:126.75pt;height:132.3pt;z-index:251666432;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59;mso-column-margin:2mm" inset="2.88pt,2.88pt,2.88pt,2.88pt">
              <w:txbxContent>
                <w:p w14:paraId="75E2649D" w14:textId="77777777" w:rsidR="00EF11A1" w:rsidRDefault="00EF11A1" w:rsidP="00EF11A1">
                  <w:pPr>
                    <w:spacing w:after="0" w:line="273" w:lineRule="auto"/>
                    <w:jc w:val="center"/>
                    <w:rPr>
                      <w:rFonts w:ascii="Arial" w:hAnsi="Arial" w:cs="Arial"/>
                      <w:color w:val="002060"/>
                    </w:rPr>
                  </w:pPr>
                </w:p>
                <w:p w14:paraId="093ACB5B" w14:textId="77777777" w:rsidR="00EF11A1" w:rsidRPr="00D67833" w:rsidRDefault="00EF11A1" w:rsidP="00EF11A1">
                  <w:pPr>
                    <w:spacing w:after="0" w:line="273" w:lineRule="auto"/>
                    <w:jc w:val="center"/>
                    <w:rPr>
                      <w:rFonts w:cs="Arial"/>
                      <w:color w:val="002060"/>
                      <w:sz w:val="20"/>
                      <w:szCs w:val="20"/>
                    </w:rPr>
                  </w:pPr>
                  <w:r>
                    <w:rPr>
                      <w:rFonts w:ascii="Arial" w:hAnsi="Arial" w:cs="Arial"/>
                      <w:color w:val="002060"/>
                    </w:rPr>
                    <w:t xml:space="preserve">   </w:t>
                  </w:r>
                  <w:r>
                    <w:rPr>
                      <w:rFonts w:ascii="Arial" w:hAnsi="Arial" w:cs="Arial"/>
                      <w:color w:val="002060"/>
                      <w:sz w:val="18"/>
                      <w:szCs w:val="18"/>
                    </w:rPr>
                    <w:t xml:space="preserve">A </w:t>
                  </w:r>
                  <w:r w:rsidRPr="00D67833">
                    <w:rPr>
                      <w:rFonts w:cs="Arial"/>
                      <w:color w:val="002060"/>
                      <w:sz w:val="20"/>
                      <w:szCs w:val="20"/>
                    </w:rPr>
                    <w:t xml:space="preserve">good test is to </w:t>
                  </w:r>
                  <w:r>
                    <w:rPr>
                      <w:rFonts w:cs="Arial"/>
                      <w:color w:val="002060"/>
                      <w:sz w:val="20"/>
                      <w:szCs w:val="20"/>
                    </w:rPr>
                    <w:t>gently lift a fold of</w:t>
                  </w:r>
                  <w:r w:rsidRPr="00D67833">
                    <w:rPr>
                      <w:rFonts w:cs="Arial"/>
                      <w:color w:val="002060"/>
                      <w:sz w:val="20"/>
                      <w:szCs w:val="20"/>
                    </w:rPr>
                    <w:t xml:space="preserve"> skin on the back of the hand:</w:t>
                  </w:r>
                  <w:r>
                    <w:rPr>
                      <w:rFonts w:cs="Arial"/>
                      <w:color w:val="002060"/>
                      <w:sz w:val="20"/>
                      <w:szCs w:val="20"/>
                    </w:rPr>
                    <w:t xml:space="preserve"> </w:t>
                  </w:r>
                  <w:r w:rsidRPr="00D67833">
                    <w:rPr>
                      <w:rFonts w:cs="Arial"/>
                      <w:color w:val="002060"/>
                      <w:sz w:val="20"/>
                      <w:szCs w:val="20"/>
                    </w:rPr>
                    <w:t>if</w:t>
                  </w:r>
                  <w:r>
                    <w:rPr>
                      <w:rFonts w:cs="Arial"/>
                      <w:color w:val="002060"/>
                      <w:sz w:val="20"/>
                      <w:szCs w:val="20"/>
                    </w:rPr>
                    <w:t xml:space="preserve"> </w:t>
                  </w:r>
                  <w:r w:rsidRPr="00D67833">
                    <w:rPr>
                      <w:rFonts w:cs="Arial"/>
                      <w:color w:val="002060"/>
                      <w:sz w:val="20"/>
                      <w:szCs w:val="20"/>
                    </w:rPr>
                    <w:t xml:space="preserve">dehydrated, it will remain elevated. </w:t>
                  </w:r>
                  <w:r>
                    <w:rPr>
                      <w:rFonts w:cs="Arial"/>
                      <w:color w:val="002060"/>
                      <w:sz w:val="20"/>
                      <w:szCs w:val="20"/>
                    </w:rPr>
                    <w:t xml:space="preserve"> </w:t>
                  </w:r>
                  <w:r w:rsidRPr="00D67833">
                    <w:rPr>
                      <w:rFonts w:cs="Arial"/>
                      <w:color w:val="002060"/>
                      <w:sz w:val="20"/>
                      <w:szCs w:val="20"/>
                    </w:rPr>
                    <w:t>This is ‘skin ridging’ as seen in</w:t>
                  </w:r>
                  <w:r>
                    <w:rPr>
                      <w:rFonts w:cs="Arial"/>
                      <w:color w:val="002060"/>
                      <w:sz w:val="20"/>
                      <w:szCs w:val="20"/>
                    </w:rPr>
                    <w:t xml:space="preserve"> this image</w:t>
                  </w:r>
                  <w:r w:rsidRPr="00D67833">
                    <w:rPr>
                      <w:rFonts w:cs="Arial"/>
                      <w:color w:val="002060"/>
                      <w:sz w:val="20"/>
                      <w:szCs w:val="20"/>
                    </w:rPr>
                    <w:t xml:space="preserve">. </w:t>
                  </w:r>
                </w:p>
              </w:txbxContent>
            </v:textbox>
          </v:shape>
        </w:pict>
      </w:r>
    </w:p>
    <w:p w14:paraId="72E09460" w14:textId="77777777" w:rsidR="00EF11A1" w:rsidRPr="004D1920" w:rsidRDefault="00EF11A1" w:rsidP="00EF11A1">
      <w:pPr>
        <w:rPr>
          <w:rFonts w:cs="Arial"/>
          <w:color w:val="6B1A74"/>
          <w:sz w:val="24"/>
          <w:szCs w:val="24"/>
        </w:rPr>
      </w:pPr>
      <w:r w:rsidRPr="004D1920">
        <w:rPr>
          <w:rFonts w:cs="Arial"/>
          <w:color w:val="002060"/>
          <w:sz w:val="24"/>
          <w:szCs w:val="24"/>
        </w:rPr>
        <w:t xml:space="preserve">Signs of dehydration can be: thirst, confusion, dry mouth caked with thick material, drowsiness, slurred speech, vomiting, dark urine, burning of the bladder on urinating, unconsciousness. </w:t>
      </w:r>
    </w:p>
    <w:p w14:paraId="2CA91060" w14:textId="77777777" w:rsidR="00EF11A1" w:rsidRPr="004D1920" w:rsidRDefault="00EF11A1" w:rsidP="00EF11A1">
      <w:pPr>
        <w:rPr>
          <w:sz w:val="24"/>
          <w:szCs w:val="24"/>
        </w:rPr>
      </w:pPr>
      <w:r w:rsidRPr="004D1920">
        <w:rPr>
          <w:rFonts w:cs="Arial"/>
          <w:color w:val="002060"/>
          <w:sz w:val="24"/>
          <w:szCs w:val="24"/>
        </w:rPr>
        <w:t xml:space="preserve">Blood tests can help confirm dehydration if disputed. Ask for evidence if told the patient’s kidneys are struggling. High potassium levels are treatable. </w:t>
      </w:r>
    </w:p>
    <w:p w14:paraId="64F71B35" w14:textId="77777777" w:rsidR="00EF11A1" w:rsidRPr="004D1920" w:rsidRDefault="00EF11A1" w:rsidP="00EE37C7">
      <w:pPr>
        <w:rPr>
          <w:rFonts w:cs="Arial"/>
          <w:color w:val="002060"/>
          <w:sz w:val="24"/>
          <w:szCs w:val="24"/>
        </w:rPr>
      </w:pPr>
    </w:p>
    <w:p w14:paraId="128D831B" w14:textId="3BD3197C" w:rsidR="00313370" w:rsidRPr="004D1920" w:rsidRDefault="00000000" w:rsidP="003615F6">
      <w:pPr>
        <w:rPr>
          <w:rFonts w:cs="Arial"/>
          <w:b/>
          <w:color w:val="7030A0"/>
          <w:sz w:val="24"/>
          <w:szCs w:val="24"/>
        </w:rPr>
      </w:pPr>
      <w:r>
        <w:rPr>
          <w:noProof/>
          <w:sz w:val="24"/>
          <w:szCs w:val="24"/>
          <w:lang w:eastAsia="en-GB"/>
        </w:rPr>
        <w:pict w14:anchorId="34F7AB56">
          <v:shape id="_x0000_s1057" type="#_x0000_t202" style="position:absolute;margin-left:289.6pt;margin-top:7.95pt;width:138.2pt;height:132.3pt;z-index:25166438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57;mso-column-margin:2mm" inset="2.88pt,2.88pt,2.88pt,2.88pt">
              <w:txbxContent>
                <w:p w14:paraId="1A84A978" w14:textId="77777777" w:rsidR="006A5F7D" w:rsidRDefault="00EE37C7" w:rsidP="006A5F7D">
                  <w:pPr>
                    <w:spacing w:after="0" w:line="273" w:lineRule="auto"/>
                    <w:jc w:val="center"/>
                    <w:rPr>
                      <w:rFonts w:ascii="Arial" w:hAnsi="Arial" w:cs="Arial"/>
                      <w:color w:val="002060"/>
                    </w:rPr>
                  </w:pPr>
                  <w:r>
                    <w:rPr>
                      <w:rFonts w:ascii="Arial" w:hAnsi="Arial" w:cs="Arial"/>
                      <w:color w:val="002060"/>
                    </w:rPr>
                    <w:t> </w:t>
                  </w:r>
                </w:p>
              </w:txbxContent>
            </v:textbox>
          </v:shape>
        </w:pict>
      </w:r>
      <w:r w:rsidR="00313370" w:rsidRPr="004D1920">
        <w:rPr>
          <w:rFonts w:cs="Arial"/>
          <w:b/>
          <w:color w:val="7030A0"/>
          <w:sz w:val="24"/>
          <w:szCs w:val="24"/>
        </w:rPr>
        <w:t>Things you can do:</w:t>
      </w:r>
    </w:p>
    <w:p w14:paraId="59EB66D8" w14:textId="43C14564" w:rsidR="00313370" w:rsidRPr="004D1920" w:rsidRDefault="00313370" w:rsidP="00313370">
      <w:pPr>
        <w:pStyle w:val="ListParagraph"/>
        <w:ind w:left="0"/>
        <w:rPr>
          <w:rFonts w:cs="Arial"/>
          <w:color w:val="002060"/>
          <w:sz w:val="24"/>
          <w:szCs w:val="24"/>
        </w:rPr>
      </w:pPr>
      <w:r w:rsidRPr="004D1920">
        <w:rPr>
          <w:rFonts w:cs="Arial"/>
          <w:color w:val="002060"/>
          <w:sz w:val="24"/>
          <w:szCs w:val="24"/>
        </w:rPr>
        <w:t>There is a phone number you can ring for advice and support if you feel a loved one is at immediate threat of euthanasia. Patien</w:t>
      </w:r>
      <w:r w:rsidR="00E27134" w:rsidRPr="004D1920">
        <w:rPr>
          <w:rFonts w:cs="Arial"/>
          <w:color w:val="002060"/>
          <w:sz w:val="24"/>
          <w:szCs w:val="24"/>
        </w:rPr>
        <w:t>ts First Network</w:t>
      </w:r>
      <w:r w:rsidR="00DD271F" w:rsidRPr="004D1920">
        <w:rPr>
          <w:rFonts w:cs="Arial"/>
          <w:color w:val="002060"/>
          <w:sz w:val="24"/>
          <w:szCs w:val="24"/>
        </w:rPr>
        <w:t xml:space="preserve"> via SPUC:</w:t>
      </w:r>
      <w:r w:rsidR="00E27134" w:rsidRPr="004D1920">
        <w:rPr>
          <w:rFonts w:cs="Arial"/>
          <w:color w:val="002060"/>
          <w:sz w:val="24"/>
          <w:szCs w:val="24"/>
        </w:rPr>
        <w:t xml:space="preserve"> 020 </w:t>
      </w:r>
      <w:r w:rsidR="00DD271F" w:rsidRPr="004D1920">
        <w:rPr>
          <w:rFonts w:cs="Arial"/>
          <w:color w:val="002060"/>
          <w:sz w:val="24"/>
          <w:szCs w:val="24"/>
        </w:rPr>
        <w:t xml:space="preserve">7091 7091 </w:t>
      </w:r>
    </w:p>
    <w:p w14:paraId="36D5439C" w14:textId="77777777" w:rsidR="00313370" w:rsidRPr="004D1920" w:rsidRDefault="00313370" w:rsidP="00313370">
      <w:pPr>
        <w:rPr>
          <w:rFonts w:cs="Arial"/>
          <w:color w:val="002060"/>
          <w:sz w:val="24"/>
          <w:szCs w:val="24"/>
        </w:rPr>
      </w:pPr>
      <w:r w:rsidRPr="004D1920">
        <w:rPr>
          <w:rFonts w:cs="Arial"/>
          <w:sz w:val="24"/>
          <w:szCs w:val="24"/>
        </w:rPr>
        <w:t>I</w:t>
      </w:r>
      <w:r w:rsidRPr="004D1920">
        <w:rPr>
          <w:rFonts w:cs="Arial"/>
          <w:color w:val="002060"/>
          <w:sz w:val="24"/>
          <w:szCs w:val="24"/>
        </w:rPr>
        <w:t xml:space="preserve">f you think your loved one is hungry or thirsty, and </w:t>
      </w:r>
      <w:r w:rsidRPr="004D1920">
        <w:rPr>
          <w:rFonts w:cs="Arial"/>
          <w:b/>
          <w:i/>
          <w:color w:val="002060"/>
          <w:sz w:val="24"/>
          <w:szCs w:val="24"/>
        </w:rPr>
        <w:t>is conscious</w:t>
      </w:r>
      <w:r w:rsidRPr="004D1920">
        <w:rPr>
          <w:rFonts w:cs="Arial"/>
          <w:color w:val="002060"/>
          <w:sz w:val="24"/>
          <w:szCs w:val="24"/>
        </w:rPr>
        <w:t xml:space="preserve"> but can’t talk, show pictures for them to nod or point to e.g. food, drink (see pictures on back of this booklet or use other pictures).  </w:t>
      </w:r>
    </w:p>
    <w:p w14:paraId="2E8F9B07" w14:textId="77777777" w:rsidR="00313370" w:rsidRPr="004D1920" w:rsidRDefault="00313370" w:rsidP="00313370">
      <w:pPr>
        <w:rPr>
          <w:rFonts w:cs="Arial"/>
          <w:color w:val="002060"/>
          <w:sz w:val="24"/>
          <w:szCs w:val="24"/>
        </w:rPr>
      </w:pPr>
      <w:r w:rsidRPr="004D1920">
        <w:rPr>
          <w:rFonts w:cs="Arial"/>
          <w:color w:val="002060"/>
          <w:sz w:val="24"/>
          <w:szCs w:val="24"/>
        </w:rPr>
        <w:t>If a patient genuinely has swallowing problems a nasogastric tube can be inserted; the tube might only be needed temporarily. A nasogastric tube does carry risks, so know about these beforehand.</w:t>
      </w:r>
    </w:p>
    <w:p w14:paraId="634E725E" w14:textId="1DCA6769" w:rsidR="00197160" w:rsidRDefault="00313370" w:rsidP="00313370">
      <w:pPr>
        <w:rPr>
          <w:rFonts w:cs="Arial"/>
          <w:color w:val="002060"/>
          <w:sz w:val="24"/>
          <w:szCs w:val="24"/>
        </w:rPr>
      </w:pPr>
      <w:r w:rsidRPr="004D1920">
        <w:rPr>
          <w:rFonts w:cs="Arial"/>
          <w:color w:val="002060"/>
          <w:sz w:val="24"/>
          <w:szCs w:val="24"/>
        </w:rPr>
        <w:t xml:space="preserve">The patient has a right to see their hospital notes, in line </w:t>
      </w:r>
      <w:r w:rsidR="00916529" w:rsidRPr="004D1920">
        <w:rPr>
          <w:rFonts w:cs="Arial"/>
          <w:color w:val="002060"/>
          <w:sz w:val="24"/>
          <w:szCs w:val="24"/>
        </w:rPr>
        <w:t>with the Data Protection Act 201</w:t>
      </w:r>
      <w:r w:rsidR="00AF6477" w:rsidRPr="004D1920">
        <w:rPr>
          <w:rFonts w:cs="Arial"/>
          <w:color w:val="002060"/>
          <w:sz w:val="24"/>
          <w:szCs w:val="24"/>
        </w:rPr>
        <w:t xml:space="preserve">8 and GDPR. </w:t>
      </w:r>
      <w:r w:rsidRPr="004D1920">
        <w:rPr>
          <w:rFonts w:cs="Arial"/>
          <w:color w:val="002060"/>
          <w:sz w:val="24"/>
          <w:szCs w:val="24"/>
        </w:rPr>
        <w:t xml:space="preserve">If the patient is too unwell, consent for disclosure to a third party is lawful; this is </w:t>
      </w:r>
      <w:r w:rsidRPr="004D1920">
        <w:rPr>
          <w:rFonts w:cs="Arial"/>
          <w:color w:val="002060"/>
          <w:sz w:val="24"/>
          <w:szCs w:val="24"/>
        </w:rPr>
        <w:lastRenderedPageBreak/>
        <w:t>usually the designated next-of-kin (name written in hospital records as NOK) who can then read the patient’s notes whilst still in hospital;[</w:t>
      </w:r>
      <w:r w:rsidR="00D27363">
        <w:rPr>
          <w:rFonts w:cs="Arial"/>
          <w:color w:val="002060"/>
          <w:sz w:val="24"/>
          <w:szCs w:val="24"/>
        </w:rPr>
        <w:t>6</w:t>
      </w:r>
      <w:r w:rsidRPr="004D1920">
        <w:rPr>
          <w:rFonts w:cs="Arial"/>
          <w:color w:val="002060"/>
          <w:sz w:val="24"/>
          <w:szCs w:val="24"/>
        </w:rPr>
        <w:t>]</w:t>
      </w:r>
      <w:r w:rsidRPr="004D1920">
        <w:rPr>
          <w:rFonts w:cs="Arial"/>
          <w:color w:val="FF0000"/>
          <w:sz w:val="24"/>
          <w:szCs w:val="24"/>
        </w:rPr>
        <w:t xml:space="preserve"> </w:t>
      </w:r>
      <w:r w:rsidRPr="004D1920">
        <w:rPr>
          <w:rFonts w:cs="Arial"/>
          <w:color w:val="002060"/>
          <w:sz w:val="24"/>
          <w:szCs w:val="24"/>
        </w:rPr>
        <w:t>consent from the patient is needed</w:t>
      </w:r>
      <w:r w:rsidR="00D27363">
        <w:rPr>
          <w:rFonts w:cs="Arial"/>
          <w:color w:val="002060"/>
          <w:sz w:val="24"/>
          <w:szCs w:val="24"/>
        </w:rPr>
        <w:t xml:space="preserve"> in writing</w:t>
      </w:r>
      <w:r w:rsidRPr="004D1920">
        <w:rPr>
          <w:rFonts w:cs="Arial"/>
          <w:color w:val="002060"/>
          <w:sz w:val="24"/>
          <w:szCs w:val="24"/>
        </w:rPr>
        <w:t xml:space="preserve">, </w:t>
      </w:r>
      <w:r w:rsidR="00D27363">
        <w:rPr>
          <w:rFonts w:cs="Arial"/>
          <w:color w:val="002060"/>
          <w:sz w:val="24"/>
          <w:szCs w:val="24"/>
        </w:rPr>
        <w:t xml:space="preserve">so getting their written permission in </w:t>
      </w:r>
      <w:r w:rsidR="00197160">
        <w:rPr>
          <w:rFonts w:cs="Arial"/>
          <w:color w:val="002060"/>
          <w:sz w:val="24"/>
          <w:szCs w:val="24"/>
        </w:rPr>
        <w:t>advance</w:t>
      </w:r>
      <w:r w:rsidR="00D27363">
        <w:rPr>
          <w:rFonts w:cs="Arial"/>
          <w:color w:val="002060"/>
          <w:sz w:val="24"/>
          <w:szCs w:val="24"/>
        </w:rPr>
        <w:t xml:space="preserve"> </w:t>
      </w:r>
      <w:r w:rsidR="00197160">
        <w:rPr>
          <w:rFonts w:cs="Arial"/>
          <w:color w:val="002060"/>
          <w:sz w:val="24"/>
          <w:szCs w:val="24"/>
        </w:rPr>
        <w:t>for a NOK to read hospital notes is the better option.</w:t>
      </w:r>
      <w:r w:rsidRPr="004D1920">
        <w:rPr>
          <w:rFonts w:cs="Arial"/>
          <w:color w:val="002060"/>
          <w:sz w:val="24"/>
          <w:szCs w:val="24"/>
        </w:rPr>
        <w:t xml:space="preserve"> </w:t>
      </w:r>
      <w:r w:rsidR="00197160" w:rsidRPr="004D1920">
        <w:rPr>
          <w:rFonts w:cs="Arial"/>
          <w:color w:val="002060"/>
          <w:sz w:val="24"/>
          <w:szCs w:val="24"/>
        </w:rPr>
        <w:t xml:space="preserve">If the hospital team are uncooperative about this, request to see the Chief Executive or similar person of hospital authority. </w:t>
      </w:r>
    </w:p>
    <w:p w14:paraId="1E7E34EA" w14:textId="5BF9689E" w:rsidR="00313370" w:rsidRPr="004D1920" w:rsidRDefault="00313370" w:rsidP="00313370">
      <w:pPr>
        <w:pStyle w:val="ListParagraph"/>
        <w:ind w:left="0"/>
        <w:rPr>
          <w:rFonts w:cs="Arial"/>
          <w:color w:val="002060"/>
          <w:sz w:val="24"/>
          <w:szCs w:val="24"/>
        </w:rPr>
      </w:pPr>
      <w:r w:rsidRPr="004D1920">
        <w:rPr>
          <w:rFonts w:cs="Arial"/>
          <w:color w:val="002060"/>
          <w:sz w:val="24"/>
          <w:szCs w:val="24"/>
        </w:rPr>
        <w:t>Some information in the room may be read without permission, e.g. patient’s blood pressure, temperature and fluid chart but usually not the drug chart. It varies from hospital to hospital.  Some are now changing from paper to electronic iPad medical notes but you still have a right to read them.  Look for abbreviations such as NBM in the nutritional chart, on the wall or above/attached to head or foot of the bed; also check fluid amounts in the fluid chart. Is it enough fluid?  Ask why a NBM order is there and for how long. This will reveal any intent to starve or dehydrate.[</w:t>
      </w:r>
      <w:r w:rsidR="00197160">
        <w:rPr>
          <w:rFonts w:cs="Arial"/>
          <w:color w:val="002060"/>
          <w:sz w:val="24"/>
          <w:szCs w:val="24"/>
        </w:rPr>
        <w:t>7</w:t>
      </w:r>
      <w:r w:rsidRPr="004D1920">
        <w:rPr>
          <w:rFonts w:cs="Arial"/>
          <w:color w:val="002060"/>
          <w:sz w:val="24"/>
          <w:szCs w:val="24"/>
        </w:rPr>
        <w:t xml:space="preserve">] Ask what codes mean in the nursing drug chart. They might vary but in some hospitals a Figure 3 means NBM in the drug chart. </w:t>
      </w:r>
    </w:p>
    <w:p w14:paraId="6AC0A782" w14:textId="3D0EBA75" w:rsidR="00313370" w:rsidRPr="004D1920" w:rsidRDefault="00313370" w:rsidP="00313370">
      <w:pPr>
        <w:rPr>
          <w:rFonts w:cs="Arial"/>
          <w:color w:val="002060"/>
          <w:sz w:val="24"/>
          <w:szCs w:val="24"/>
        </w:rPr>
      </w:pPr>
      <w:r w:rsidRPr="004D1920">
        <w:rPr>
          <w:rFonts w:cs="Arial"/>
          <w:color w:val="002060"/>
          <w:sz w:val="24"/>
          <w:szCs w:val="24"/>
        </w:rPr>
        <w:t xml:space="preserve">Ask for another doctor’s opinion, not necessarily from the same team. If not satisfied, consider transferring the patient to a private hospital. (Check first that you’re happy with the approach of a different hospital.) </w:t>
      </w:r>
    </w:p>
    <w:p w14:paraId="7C46F50E" w14:textId="77777777" w:rsidR="00FF1EB5" w:rsidRPr="00FF1EB5" w:rsidRDefault="00FF1EB5" w:rsidP="00FF1EB5">
      <w:pPr>
        <w:rPr>
          <w:rFonts w:cstheme="minorHAnsi"/>
          <w:bCs/>
          <w:color w:val="000066"/>
          <w:sz w:val="24"/>
          <w:szCs w:val="24"/>
        </w:rPr>
      </w:pPr>
      <w:r w:rsidRPr="00FF1EB5">
        <w:rPr>
          <w:rFonts w:cstheme="minorHAnsi"/>
          <w:bCs/>
          <w:color w:val="000066"/>
          <w:sz w:val="24"/>
          <w:szCs w:val="24"/>
        </w:rPr>
        <w:t xml:space="preserve">Say what treatment the patient would or would not want. The Mental Capacity Act 2005 must go no further than doing what the patient would want if they had full capacity (case law 2013, Lady Hale).  Take a look at the Patient Care Bill of rights, to fight for what the patient would want. </w:t>
      </w:r>
      <w:hyperlink r:id="rId8" w:history="1">
        <w:r w:rsidRPr="00FF1EB5">
          <w:rPr>
            <w:rStyle w:val="Hyperlink"/>
            <w:rFonts w:cstheme="minorHAnsi"/>
            <w:bCs/>
            <w:color w:val="000066"/>
            <w:sz w:val="24"/>
            <w:szCs w:val="24"/>
          </w:rPr>
          <w:t>https://dehydrationlifeline.org/</w:t>
        </w:r>
      </w:hyperlink>
      <w:r w:rsidRPr="00FF1EB5">
        <w:rPr>
          <w:rFonts w:cstheme="minorHAnsi"/>
          <w:bCs/>
          <w:color w:val="000066"/>
          <w:sz w:val="24"/>
          <w:szCs w:val="24"/>
        </w:rPr>
        <w:t xml:space="preserve"> There are also free legal papers at this website. </w:t>
      </w:r>
    </w:p>
    <w:p w14:paraId="49341E42" w14:textId="77777777" w:rsidR="00FF1EB5" w:rsidRDefault="00FF1EB5" w:rsidP="00FF1EB5">
      <w:pPr>
        <w:rPr>
          <w:rFonts w:cstheme="minorHAnsi"/>
          <w:bCs/>
          <w:color w:val="000066"/>
          <w:sz w:val="24"/>
          <w:szCs w:val="24"/>
        </w:rPr>
      </w:pPr>
      <w:r w:rsidRPr="00FF1EB5">
        <w:rPr>
          <w:rFonts w:cstheme="minorHAnsi"/>
          <w:bCs/>
          <w:color w:val="000066"/>
          <w:sz w:val="24"/>
          <w:szCs w:val="24"/>
        </w:rPr>
        <w:t xml:space="preserve">Have the patient prepare a signed statement in advance for how they would or would not want to be treated (see Template Letter from </w:t>
      </w:r>
      <w:hyperlink r:id="rId9" w:history="1">
        <w:r w:rsidRPr="00FF1EB5">
          <w:rPr>
            <w:rStyle w:val="Hyperlink"/>
            <w:rFonts w:cstheme="minorHAnsi"/>
            <w:bCs/>
            <w:color w:val="000066"/>
            <w:sz w:val="24"/>
            <w:szCs w:val="24"/>
          </w:rPr>
          <w:t>https://www.thegracecharityforme.org/hazel-and-the-lcp/</w:t>
        </w:r>
      </w:hyperlink>
      <w:r w:rsidRPr="00FF1EB5">
        <w:rPr>
          <w:rFonts w:cstheme="minorHAnsi"/>
          <w:bCs/>
          <w:color w:val="000066"/>
          <w:sz w:val="24"/>
          <w:szCs w:val="24"/>
        </w:rPr>
        <w:t xml:space="preserve">     </w:t>
      </w:r>
    </w:p>
    <w:p w14:paraId="3EFCC5B5" w14:textId="77777777" w:rsidR="003615F6" w:rsidRDefault="003615F6" w:rsidP="00FF1EB5">
      <w:pPr>
        <w:rPr>
          <w:rFonts w:cstheme="minorHAnsi"/>
          <w:bCs/>
          <w:color w:val="000066"/>
          <w:sz w:val="24"/>
          <w:szCs w:val="24"/>
        </w:rPr>
      </w:pPr>
    </w:p>
    <w:p w14:paraId="415D5229" w14:textId="77777777" w:rsidR="003615F6" w:rsidRPr="004D1920" w:rsidRDefault="003615F6" w:rsidP="003615F6">
      <w:pPr>
        <w:rPr>
          <w:b/>
          <w:bCs/>
          <w:color w:val="6B1A74"/>
          <w:sz w:val="24"/>
          <w:szCs w:val="24"/>
        </w:rPr>
      </w:pPr>
      <w:r w:rsidRPr="004D1920">
        <w:rPr>
          <w:b/>
          <w:bCs/>
          <w:color w:val="6B1A74"/>
          <w:sz w:val="24"/>
          <w:szCs w:val="24"/>
          <w:u w:val="single"/>
        </w:rPr>
        <w:t>THINGS TO BE CONCERNED ABOUT:</w:t>
      </w:r>
      <w:r w:rsidRPr="004D1920">
        <w:rPr>
          <w:b/>
          <w:bCs/>
          <w:color w:val="6B1A74"/>
          <w:sz w:val="24"/>
          <w:szCs w:val="24"/>
        </w:rPr>
        <w:t xml:space="preserve">  </w:t>
      </w:r>
    </w:p>
    <w:p w14:paraId="3425B75A" w14:textId="77777777" w:rsidR="003615F6" w:rsidRPr="004D1920" w:rsidRDefault="003615F6" w:rsidP="003615F6">
      <w:pPr>
        <w:rPr>
          <w:color w:val="000066"/>
          <w:sz w:val="24"/>
          <w:szCs w:val="24"/>
        </w:rPr>
      </w:pPr>
      <w:r w:rsidRPr="004D1920">
        <w:rPr>
          <w:color w:val="000066"/>
          <w:sz w:val="24"/>
          <w:szCs w:val="24"/>
        </w:rPr>
        <w:t xml:space="preserve">If the medical team tell you that the patient is dying, when you don’t believe that they are dying. If you are told that the patient’s body is ‘shutting down’.  </w:t>
      </w:r>
    </w:p>
    <w:p w14:paraId="25F7C3F9" w14:textId="77777777" w:rsidR="003615F6" w:rsidRPr="004D1920" w:rsidRDefault="003615F6" w:rsidP="003615F6">
      <w:pPr>
        <w:rPr>
          <w:color w:val="000066"/>
          <w:sz w:val="24"/>
          <w:szCs w:val="24"/>
        </w:rPr>
      </w:pPr>
      <w:r w:rsidRPr="004D1920">
        <w:rPr>
          <w:color w:val="000066"/>
          <w:sz w:val="24"/>
          <w:szCs w:val="24"/>
        </w:rPr>
        <w:t>If there is condescending talk of the patient’s ‘quality of life’.</w:t>
      </w:r>
    </w:p>
    <w:p w14:paraId="2D25FDDA" w14:textId="77777777" w:rsidR="003615F6" w:rsidRPr="004D1920" w:rsidRDefault="003615F6" w:rsidP="003615F6">
      <w:pPr>
        <w:rPr>
          <w:color w:val="000066"/>
          <w:sz w:val="24"/>
          <w:szCs w:val="24"/>
        </w:rPr>
      </w:pPr>
      <w:r w:rsidRPr="004D1920">
        <w:rPr>
          <w:color w:val="000066"/>
          <w:sz w:val="24"/>
          <w:szCs w:val="24"/>
        </w:rPr>
        <w:t>If there is unnecessary interference with the patient’s oral food and fluid intake, e.g. either Nil By Mouth (NBM) or ‘swallowing problems’ when you don’t believe there are problems. Ask to see a swallowing assessment for a ‘safe swallow’ from a Speech &amp; Language Therapist (SALT). If one hasn’t been done or if you are unconvinced by the assessment, then any oral intake restriction should be challenged.</w:t>
      </w:r>
    </w:p>
    <w:p w14:paraId="2588583B" w14:textId="77777777" w:rsidR="003615F6" w:rsidRPr="004D1920" w:rsidRDefault="003615F6" w:rsidP="003615F6">
      <w:pPr>
        <w:rPr>
          <w:color w:val="000066"/>
          <w:sz w:val="24"/>
          <w:szCs w:val="24"/>
        </w:rPr>
      </w:pPr>
      <w:r w:rsidRPr="004D1920">
        <w:rPr>
          <w:color w:val="000066"/>
          <w:sz w:val="24"/>
          <w:szCs w:val="24"/>
        </w:rPr>
        <w:t xml:space="preserve">If the patient isn’t speaking, with no convincing reason from the medical staff as to why. (They might be dehydrated or unnecessarily sedated.) </w:t>
      </w:r>
    </w:p>
    <w:p w14:paraId="7AADA692" w14:textId="77777777" w:rsidR="003615F6" w:rsidRPr="004D1920" w:rsidRDefault="003615F6" w:rsidP="003615F6">
      <w:pPr>
        <w:rPr>
          <w:color w:val="000066"/>
          <w:sz w:val="24"/>
          <w:szCs w:val="24"/>
        </w:rPr>
      </w:pPr>
      <w:r w:rsidRPr="004D1920">
        <w:rPr>
          <w:color w:val="000066"/>
          <w:sz w:val="24"/>
          <w:szCs w:val="24"/>
        </w:rPr>
        <w:t xml:space="preserve">If sedatives or morphine/diamorphine have been written up, ask why? These drugs can decrease oxygen and can mask unpleasant symptoms of dehydration. Opiates and sedatives </w:t>
      </w:r>
      <w:r w:rsidRPr="004D1920">
        <w:rPr>
          <w:color w:val="000066"/>
          <w:sz w:val="24"/>
          <w:szCs w:val="24"/>
        </w:rPr>
        <w:lastRenderedPageBreak/>
        <w:t xml:space="preserve">should not be combined, as stated in medical guidelines, yet they often are. (Check under the sheets to see if a syringe driver is attached to the patient; unless needed for severe pain, the drugs can also be used to hasten death.) </w:t>
      </w:r>
      <w:hyperlink r:id="rId10" w:anchor="contraIndications" w:history="1">
        <w:r w:rsidRPr="004D1920">
          <w:rPr>
            <w:rStyle w:val="Hyperlink"/>
            <w:rFonts w:cs="Arial"/>
            <w:color w:val="000066"/>
            <w:sz w:val="24"/>
            <w:szCs w:val="24"/>
          </w:rPr>
          <w:t>https://bnf.nice.org.uk/drugs/midazolam/#contraIndications</w:t>
        </w:r>
      </w:hyperlink>
      <w:r w:rsidRPr="004D1920">
        <w:rPr>
          <w:color w:val="000066"/>
          <w:sz w:val="24"/>
          <w:szCs w:val="24"/>
        </w:rPr>
        <w:t xml:space="preserve"> </w:t>
      </w:r>
    </w:p>
    <w:p w14:paraId="72DC38C1" w14:textId="77777777" w:rsidR="003615F6" w:rsidRPr="004D1920" w:rsidRDefault="003615F6" w:rsidP="003615F6">
      <w:pPr>
        <w:rPr>
          <w:rFonts w:cs="Arial"/>
          <w:color w:val="002060"/>
          <w:sz w:val="24"/>
          <w:szCs w:val="24"/>
        </w:rPr>
      </w:pPr>
      <w:r w:rsidRPr="004D1920">
        <w:rPr>
          <w:color w:val="000066"/>
          <w:sz w:val="24"/>
          <w:szCs w:val="24"/>
        </w:rPr>
        <w:t>Has the patient been issued with a Do Not Resuscitate Order (DNR/DNAR/DNACPR)? If so, ask why? It’s illegal for a DNR to be issued without prior consent from the patient or next-of-kin, yet this happens. DNRs can go beyond withholding resuscitation to also withholding fluids and active treatment. [8]</w:t>
      </w:r>
    </w:p>
    <w:p w14:paraId="057A3EED" w14:textId="77777777" w:rsidR="003615F6" w:rsidRPr="004D1920" w:rsidRDefault="003615F6" w:rsidP="003615F6">
      <w:pPr>
        <w:rPr>
          <w:rFonts w:cs="Arial"/>
          <w:color w:val="002060"/>
          <w:sz w:val="24"/>
          <w:szCs w:val="24"/>
        </w:rPr>
      </w:pPr>
      <w:r w:rsidRPr="004D1920">
        <w:rPr>
          <w:rFonts w:cs="Arial"/>
          <w:color w:val="002060"/>
          <w:sz w:val="24"/>
          <w:szCs w:val="24"/>
        </w:rPr>
        <w:t>If things still don’t seem right to you as a next-of-kin, don’t be afraid to stand up for your relative. You may be their last line of defence.</w:t>
      </w:r>
    </w:p>
    <w:p w14:paraId="3DCCB27C" w14:textId="77777777" w:rsidR="003615F6" w:rsidRPr="004D1920" w:rsidRDefault="003615F6" w:rsidP="003615F6">
      <w:pPr>
        <w:rPr>
          <w:rFonts w:cs="Arial"/>
          <w:color w:val="002060"/>
          <w:sz w:val="24"/>
          <w:szCs w:val="24"/>
        </w:rPr>
      </w:pPr>
    </w:p>
    <w:p w14:paraId="70E81536" w14:textId="77777777" w:rsidR="003615F6" w:rsidRPr="004D1920" w:rsidRDefault="003615F6" w:rsidP="003615F6">
      <w:pPr>
        <w:rPr>
          <w:rFonts w:cs="Arial"/>
          <w:b/>
          <w:bCs/>
          <w:color w:val="6B1A74"/>
          <w:sz w:val="24"/>
          <w:szCs w:val="24"/>
          <w:u w:val="single"/>
        </w:rPr>
      </w:pPr>
    </w:p>
    <w:p w14:paraId="39EC3A17" w14:textId="526E5D81" w:rsidR="00313370" w:rsidRDefault="00313370" w:rsidP="00C6221A">
      <w:pPr>
        <w:spacing w:after="0"/>
        <w:rPr>
          <w:b/>
          <w:sz w:val="20"/>
          <w:szCs w:val="20"/>
        </w:rPr>
      </w:pPr>
      <w:r>
        <w:rPr>
          <w:b/>
          <w:sz w:val="20"/>
          <w:szCs w:val="20"/>
        </w:rPr>
        <w:t>Useful links</w:t>
      </w:r>
    </w:p>
    <w:p w14:paraId="6F05FB25" w14:textId="77777777" w:rsidR="005B5CD2" w:rsidRDefault="005B5CD2" w:rsidP="00C6221A">
      <w:pPr>
        <w:spacing w:after="0"/>
        <w:rPr>
          <w:b/>
          <w:sz w:val="20"/>
          <w:szCs w:val="20"/>
        </w:rPr>
      </w:pPr>
    </w:p>
    <w:p w14:paraId="4A7DAE85" w14:textId="5380C01D" w:rsidR="00C6221A" w:rsidRPr="005B5CD2" w:rsidRDefault="005B5CD2" w:rsidP="00C6221A">
      <w:pPr>
        <w:spacing w:after="0"/>
        <w:rPr>
          <w:sz w:val="20"/>
          <w:szCs w:val="20"/>
        </w:rPr>
      </w:pPr>
      <w:hyperlink r:id="rId11" w:history="1">
        <w:r w:rsidRPr="005B5CD2">
          <w:rPr>
            <w:color w:val="0000FF"/>
            <w:sz w:val="20"/>
            <w:szCs w:val="20"/>
            <w:u w:val="single"/>
          </w:rPr>
          <w:t>Dehydration LifeLine – Help for relatives of loved ones who are being denied fluids</w:t>
        </w:r>
      </w:hyperlink>
      <w:r w:rsidRPr="005B5CD2">
        <w:rPr>
          <w:sz w:val="20"/>
          <w:szCs w:val="20"/>
        </w:rPr>
        <w:t xml:space="preserve"> </w:t>
      </w:r>
    </w:p>
    <w:p w14:paraId="0D56F42D" w14:textId="018E2F62" w:rsidR="005B5CD2" w:rsidRPr="005B5CD2" w:rsidRDefault="005B5CD2" w:rsidP="00C6221A">
      <w:pPr>
        <w:spacing w:after="0"/>
        <w:rPr>
          <w:b/>
          <w:sz w:val="20"/>
          <w:szCs w:val="20"/>
        </w:rPr>
      </w:pPr>
      <w:hyperlink r:id="rId12" w:history="1">
        <w:r w:rsidRPr="005B5CD2">
          <w:rPr>
            <w:rStyle w:val="Hyperlink"/>
            <w:sz w:val="20"/>
            <w:szCs w:val="20"/>
          </w:rPr>
          <w:t>www.dehydrationlifeline.org</w:t>
        </w:r>
      </w:hyperlink>
      <w:r w:rsidRPr="005B5CD2">
        <w:rPr>
          <w:sz w:val="20"/>
          <w:szCs w:val="20"/>
        </w:rPr>
        <w:t xml:space="preserve"> </w:t>
      </w:r>
    </w:p>
    <w:p w14:paraId="367D4F5C" w14:textId="77777777" w:rsidR="00313370" w:rsidRPr="005B5CD2" w:rsidRDefault="00313370" w:rsidP="00313370">
      <w:pPr>
        <w:spacing w:after="0" w:line="240" w:lineRule="auto"/>
        <w:rPr>
          <w:sz w:val="20"/>
          <w:szCs w:val="20"/>
        </w:rPr>
      </w:pPr>
    </w:p>
    <w:p w14:paraId="005A5AE9" w14:textId="77777777" w:rsidR="00313370" w:rsidRDefault="00313370" w:rsidP="00313370">
      <w:pPr>
        <w:spacing w:after="0" w:line="240" w:lineRule="auto"/>
      </w:pPr>
      <w:hyperlink r:id="rId13" w:history="1">
        <w:r w:rsidRPr="001E4525">
          <w:rPr>
            <w:rStyle w:val="Hyperlink"/>
            <w:sz w:val="20"/>
            <w:szCs w:val="20"/>
          </w:rPr>
          <w:t>www.prolifenurses.com</w:t>
        </w:r>
      </w:hyperlink>
    </w:p>
    <w:p w14:paraId="255E51FF" w14:textId="77777777" w:rsidR="00313370" w:rsidRDefault="00313370" w:rsidP="00313370">
      <w:pPr>
        <w:spacing w:after="0" w:line="240" w:lineRule="auto"/>
      </w:pPr>
    </w:p>
    <w:p w14:paraId="05D3A724" w14:textId="23BFD610" w:rsidR="00FF1EB5" w:rsidRDefault="00FF1EB5" w:rsidP="00313370">
      <w:pPr>
        <w:spacing w:after="0" w:line="240" w:lineRule="auto"/>
        <w:rPr>
          <w:color w:val="0000FF"/>
          <w:sz w:val="20"/>
          <w:szCs w:val="20"/>
          <w:u w:val="single"/>
        </w:rPr>
      </w:pPr>
      <w:r>
        <w:rPr>
          <w:rStyle w:val="Hyperlink"/>
          <w:color w:val="000000"/>
          <w:sz w:val="20"/>
          <w:szCs w:val="20"/>
        </w:rPr>
        <w:t xml:space="preserve">Book ‘The Good Samaritan Nurse in a Secular Age’, by Teresa Lynch </w:t>
      </w:r>
      <w:hyperlink r:id="rId14" w:history="1">
        <w:r w:rsidRPr="00872319">
          <w:rPr>
            <w:color w:val="0000FF"/>
            <w:sz w:val="20"/>
            <w:szCs w:val="20"/>
            <w:u w:val="single"/>
          </w:rPr>
          <w:t>Resources | Nurses Opposed to Euthanasia (prolifenurses.com)</w:t>
        </w:r>
      </w:hyperlink>
    </w:p>
    <w:p w14:paraId="6580E3C4" w14:textId="77777777" w:rsidR="00FF1EB5" w:rsidRDefault="00FF1EB5" w:rsidP="00313370">
      <w:pPr>
        <w:spacing w:after="0" w:line="240" w:lineRule="auto"/>
      </w:pPr>
    </w:p>
    <w:p w14:paraId="2E7C63B4" w14:textId="77777777" w:rsidR="00313370" w:rsidRPr="00BE4568" w:rsidRDefault="00313370" w:rsidP="00313370">
      <w:pPr>
        <w:spacing w:after="0" w:line="240" w:lineRule="auto"/>
        <w:rPr>
          <w:sz w:val="20"/>
          <w:szCs w:val="20"/>
        </w:rPr>
      </w:pPr>
      <w:hyperlink r:id="rId15" w:history="1">
        <w:r w:rsidRPr="00BE4568">
          <w:rPr>
            <w:rStyle w:val="Hyperlink"/>
            <w:sz w:val="20"/>
            <w:szCs w:val="20"/>
          </w:rPr>
          <w:t>http://www.thegracecharityforme.org./hazel-and-the-lcp/</w:t>
        </w:r>
      </w:hyperlink>
    </w:p>
    <w:p w14:paraId="7509BDDD" w14:textId="77777777" w:rsidR="00313370" w:rsidRDefault="00313370" w:rsidP="00313370">
      <w:pPr>
        <w:spacing w:after="0"/>
      </w:pPr>
    </w:p>
    <w:p w14:paraId="11C5C073" w14:textId="77777777" w:rsidR="00313370" w:rsidRDefault="00313370" w:rsidP="00313370">
      <w:pPr>
        <w:spacing w:after="0"/>
      </w:pPr>
    </w:p>
    <w:p w14:paraId="17D0752B" w14:textId="27A8C9D2" w:rsidR="00313370" w:rsidRDefault="00313370" w:rsidP="003615F6">
      <w:pPr>
        <w:spacing w:after="0"/>
        <w:rPr>
          <w:b/>
          <w:sz w:val="20"/>
          <w:szCs w:val="20"/>
        </w:rPr>
      </w:pPr>
      <w:r>
        <w:rPr>
          <w:b/>
          <w:sz w:val="20"/>
          <w:szCs w:val="20"/>
        </w:rPr>
        <w:t>Endnotes</w:t>
      </w:r>
    </w:p>
    <w:p w14:paraId="32EAD993" w14:textId="69CDEEFC" w:rsidR="00FF1EB5" w:rsidRPr="00872319" w:rsidRDefault="003615F6" w:rsidP="00FF1EB5">
      <w:pPr>
        <w:pStyle w:val="EndnoteText"/>
        <w:rPr>
          <w:sz w:val="18"/>
          <w:szCs w:val="18"/>
        </w:rPr>
      </w:pPr>
      <w:r w:rsidRPr="003615F6">
        <w:rPr>
          <w:sz w:val="18"/>
          <w:szCs w:val="18"/>
        </w:rPr>
        <w:t>[1]</w:t>
      </w:r>
      <w:r w:rsidR="00313370">
        <w:t xml:space="preserve"> </w:t>
      </w:r>
      <w:r w:rsidR="00FF1EB5" w:rsidRPr="0055753B">
        <w:rPr>
          <w:sz w:val="18"/>
          <w:szCs w:val="18"/>
        </w:rPr>
        <w:t>Statement by Carla Lockhart MP</w:t>
      </w:r>
      <w:r w:rsidR="00FF1EB5">
        <w:rPr>
          <w:sz w:val="18"/>
          <w:szCs w:val="18"/>
        </w:rPr>
        <w:t>. See</w:t>
      </w:r>
      <w:r w:rsidR="00FF1EB5" w:rsidRPr="0055753B">
        <w:rPr>
          <w:sz w:val="18"/>
          <w:szCs w:val="18"/>
        </w:rPr>
        <w:t xml:space="preserve"> </w:t>
      </w:r>
      <w:r w:rsidR="00FF1EB5" w:rsidRPr="00496F73">
        <w:rPr>
          <w:i/>
          <w:iCs/>
          <w:sz w:val="18"/>
          <w:szCs w:val="18"/>
        </w:rPr>
        <w:t>When ‘End of life Care’ Goes Wrong</w:t>
      </w:r>
      <w:r w:rsidR="00FF1EB5" w:rsidRPr="0055753B">
        <w:rPr>
          <w:sz w:val="18"/>
          <w:szCs w:val="18"/>
        </w:rPr>
        <w:t xml:space="preserve"> March 2023. A report by the Lords and Commons Family and Child protection Group </w:t>
      </w:r>
      <w:hyperlink r:id="rId16" w:history="1">
        <w:r w:rsidR="00FF1EB5" w:rsidRPr="00872319">
          <w:rPr>
            <w:color w:val="0000FF"/>
            <w:sz w:val="18"/>
            <w:szCs w:val="18"/>
            <w:u w:val="single"/>
          </w:rPr>
          <w:t>When End-of-Life Care Goes Wrong – New Publication – Available Now! – Voice for Justice (vfjuk.org)</w:t>
        </w:r>
      </w:hyperlink>
    </w:p>
    <w:p w14:paraId="5D37CDCC" w14:textId="77777777" w:rsidR="00FF1EB5" w:rsidRDefault="00FF1EB5" w:rsidP="00313370">
      <w:pPr>
        <w:pStyle w:val="EndnoteText"/>
      </w:pPr>
    </w:p>
    <w:p w14:paraId="421ECEA8" w14:textId="77777777" w:rsidR="00FF1EB5" w:rsidRDefault="00FF1EB5" w:rsidP="00313370">
      <w:pPr>
        <w:pStyle w:val="EndnoteText"/>
      </w:pPr>
    </w:p>
    <w:p w14:paraId="332BBFE0" w14:textId="3A2A7F66" w:rsidR="00313370" w:rsidRPr="007E653C" w:rsidRDefault="003615F6" w:rsidP="00313370">
      <w:pPr>
        <w:pStyle w:val="EndnoteText"/>
        <w:rPr>
          <w:sz w:val="18"/>
          <w:szCs w:val="18"/>
        </w:rPr>
      </w:pPr>
      <w:r>
        <w:t xml:space="preserve">[2] </w:t>
      </w:r>
      <w:r w:rsidR="00313370">
        <w:t xml:space="preserve"> </w:t>
      </w:r>
      <w:hyperlink r:id="rId17" w:history="1">
        <w:r w:rsidR="00313370" w:rsidRPr="007E653C">
          <w:rPr>
            <w:rStyle w:val="Hyperlink"/>
            <w:sz w:val="18"/>
            <w:szCs w:val="18"/>
          </w:rPr>
          <w:t>www.nice.org.uk/guidance/qs13</w:t>
        </w:r>
      </w:hyperlink>
      <w:r w:rsidR="00313370" w:rsidRPr="007E653C">
        <w:rPr>
          <w:sz w:val="18"/>
          <w:szCs w:val="18"/>
        </w:rPr>
        <w:t xml:space="preserve">  updated March 2017 </w:t>
      </w:r>
    </w:p>
    <w:p w14:paraId="0F81F86F" w14:textId="77777777" w:rsidR="003615F6" w:rsidRPr="00872319" w:rsidRDefault="00313370" w:rsidP="003615F6">
      <w:pPr>
        <w:pStyle w:val="EndnoteText"/>
        <w:rPr>
          <w:sz w:val="18"/>
          <w:szCs w:val="18"/>
        </w:rPr>
      </w:pPr>
      <w:r w:rsidRPr="007E653C">
        <w:rPr>
          <w:sz w:val="18"/>
          <w:szCs w:val="18"/>
        </w:rPr>
        <w:t xml:space="preserve">Also, </w:t>
      </w:r>
      <w:r w:rsidRPr="007E653C">
        <w:rPr>
          <w:i/>
          <w:sz w:val="18"/>
          <w:szCs w:val="18"/>
        </w:rPr>
        <w:t xml:space="preserve">Care of dying adults in the last days of life </w:t>
      </w:r>
      <w:r w:rsidRPr="007E653C">
        <w:rPr>
          <w:sz w:val="18"/>
          <w:szCs w:val="18"/>
        </w:rPr>
        <w:t xml:space="preserve">NICE December 2015 </w:t>
      </w:r>
      <w:hyperlink r:id="rId18" w:history="1">
        <w:r w:rsidR="003615F6" w:rsidRPr="00872319">
          <w:rPr>
            <w:color w:val="0000FF"/>
            <w:sz w:val="18"/>
            <w:szCs w:val="18"/>
            <w:u w:val="single"/>
          </w:rPr>
          <w:t>Recommendations | Care of dying adults in the last days of life | Guidance | NICE</w:t>
        </w:r>
      </w:hyperlink>
      <w:r w:rsidR="003615F6" w:rsidRPr="00872319">
        <w:rPr>
          <w:sz w:val="18"/>
          <w:szCs w:val="18"/>
        </w:rPr>
        <w:t xml:space="preserve"> </w:t>
      </w:r>
    </w:p>
    <w:p w14:paraId="306CB244" w14:textId="08246F74" w:rsidR="00313370" w:rsidRDefault="00313370" w:rsidP="00313370">
      <w:pPr>
        <w:pStyle w:val="EndnoteText"/>
        <w:rPr>
          <w:sz w:val="18"/>
          <w:szCs w:val="18"/>
        </w:rPr>
      </w:pPr>
    </w:p>
    <w:p w14:paraId="02931B3F" w14:textId="77777777" w:rsidR="003615F6" w:rsidRPr="00FF3969" w:rsidRDefault="003615F6" w:rsidP="003615F6">
      <w:pPr>
        <w:pStyle w:val="EndnoteText"/>
        <w:rPr>
          <w:sz w:val="18"/>
          <w:szCs w:val="18"/>
        </w:rPr>
      </w:pPr>
      <w:r>
        <w:rPr>
          <w:sz w:val="18"/>
          <w:szCs w:val="18"/>
        </w:rPr>
        <w:t xml:space="preserve">[3] </w:t>
      </w:r>
      <w:hyperlink r:id="rId19" w:history="1">
        <w:r w:rsidRPr="00FF3969">
          <w:rPr>
            <w:color w:val="0000FF"/>
            <w:sz w:val="18"/>
            <w:szCs w:val="18"/>
            <w:u w:val="single"/>
          </w:rPr>
          <w:t>rockwood-frailty-scale_.pdf (england.nhs.uk)</w:t>
        </w:r>
      </w:hyperlink>
    </w:p>
    <w:p w14:paraId="6088EF64" w14:textId="77777777" w:rsidR="003615F6" w:rsidRPr="007E653C" w:rsidRDefault="003615F6" w:rsidP="003615F6">
      <w:pPr>
        <w:pStyle w:val="EndnoteText"/>
        <w:rPr>
          <w:i/>
          <w:sz w:val="18"/>
          <w:szCs w:val="18"/>
        </w:rPr>
      </w:pPr>
    </w:p>
    <w:p w14:paraId="70F1C7D6" w14:textId="1DE11693" w:rsidR="00B20809" w:rsidRDefault="003615F6" w:rsidP="00B20809">
      <w:pPr>
        <w:pStyle w:val="EndnoteText"/>
        <w:rPr>
          <w:sz w:val="18"/>
          <w:szCs w:val="18"/>
        </w:rPr>
      </w:pPr>
      <w:r w:rsidRPr="003615F6">
        <w:rPr>
          <w:sz w:val="18"/>
          <w:szCs w:val="18"/>
        </w:rPr>
        <w:t>[4]</w:t>
      </w:r>
      <w:r>
        <w:rPr>
          <w:sz w:val="14"/>
          <w:szCs w:val="14"/>
        </w:rPr>
        <w:t xml:space="preserve"> </w:t>
      </w:r>
      <w:r w:rsidR="00313370" w:rsidRPr="00FF007D">
        <w:rPr>
          <w:sz w:val="14"/>
          <w:szCs w:val="14"/>
        </w:rPr>
        <w:t xml:space="preserve">  </w:t>
      </w:r>
      <w:r w:rsidR="00313370">
        <w:rPr>
          <w:sz w:val="14"/>
          <w:szCs w:val="14"/>
        </w:rPr>
        <w:t xml:space="preserve"> </w:t>
      </w:r>
      <w:r w:rsidR="00B20809" w:rsidRPr="007E653C">
        <w:rPr>
          <w:sz w:val="18"/>
          <w:szCs w:val="18"/>
        </w:rPr>
        <w:t>The Mental Capacity Act 2005 considers treatment as ‘any diagnostic or other procedure’; therefore assisted /artificial food and fluid falls into th</w:t>
      </w:r>
      <w:r w:rsidR="00B20809">
        <w:rPr>
          <w:sz w:val="18"/>
          <w:szCs w:val="18"/>
        </w:rPr>
        <w:t>at definition. A patient over 16</w:t>
      </w:r>
      <w:r w:rsidR="00B20809" w:rsidRPr="007E653C">
        <w:rPr>
          <w:sz w:val="18"/>
          <w:szCs w:val="18"/>
        </w:rPr>
        <w:t xml:space="preserve"> yrs of age who is judged as lacking mental capacity (even temporarily) can have decisions made for them by medical staff. This is meant to be in the patient’s ‘best interests’ but is not always. </w:t>
      </w:r>
      <w:r w:rsidR="00B20809">
        <w:rPr>
          <w:sz w:val="18"/>
          <w:szCs w:val="18"/>
        </w:rPr>
        <w:t xml:space="preserve">You can only appoint a Power of Attorney (Healthcare) or make an Advance Decision if you are 18 or over. </w:t>
      </w:r>
    </w:p>
    <w:p w14:paraId="068C5F0C" w14:textId="77777777" w:rsidR="00B20809" w:rsidRPr="007E653C" w:rsidRDefault="00B20809" w:rsidP="00B20809">
      <w:pPr>
        <w:pStyle w:val="EndnoteText"/>
        <w:rPr>
          <w:sz w:val="18"/>
          <w:szCs w:val="18"/>
        </w:rPr>
      </w:pPr>
    </w:p>
    <w:p w14:paraId="5226FE0A" w14:textId="0FA0A67A" w:rsidR="00313370" w:rsidRDefault="003615F6" w:rsidP="00313370">
      <w:pPr>
        <w:rPr>
          <w:sz w:val="18"/>
          <w:szCs w:val="18"/>
        </w:rPr>
      </w:pPr>
      <w:r w:rsidRPr="003615F6">
        <w:rPr>
          <w:sz w:val="18"/>
          <w:szCs w:val="18"/>
        </w:rPr>
        <w:t>[5]</w:t>
      </w:r>
      <w:r w:rsidR="00313370" w:rsidRPr="003615F6">
        <w:rPr>
          <w:sz w:val="18"/>
          <w:szCs w:val="18"/>
        </w:rPr>
        <w:t xml:space="preserve"> </w:t>
      </w:r>
      <w:r w:rsidR="009739DC" w:rsidRPr="003615F6">
        <w:rPr>
          <w:sz w:val="18"/>
          <w:szCs w:val="18"/>
        </w:rPr>
        <w:t>This</w:t>
      </w:r>
      <w:r w:rsidR="009739DC" w:rsidRPr="009739DC">
        <w:rPr>
          <w:sz w:val="18"/>
          <w:szCs w:val="18"/>
        </w:rPr>
        <w:t xml:space="preserve"> occurred in the notes of patient Hazel Turner</w:t>
      </w:r>
      <w:r w:rsidR="00313370">
        <w:t xml:space="preserve"> </w:t>
      </w:r>
      <w:hyperlink r:id="rId20" w:history="1">
        <w:r w:rsidR="00313370" w:rsidRPr="00FF007D">
          <w:rPr>
            <w:rStyle w:val="Hyperlink"/>
            <w:sz w:val="18"/>
            <w:szCs w:val="18"/>
          </w:rPr>
          <w:t>http://www.thegracecharityforme.org./hazel-and-the-lcp/</w:t>
        </w:r>
      </w:hyperlink>
      <w:r w:rsidR="00313370" w:rsidRPr="007E653C">
        <w:rPr>
          <w:sz w:val="18"/>
          <w:szCs w:val="18"/>
        </w:rPr>
        <w:t xml:space="preserve">             </w:t>
      </w:r>
    </w:p>
    <w:p w14:paraId="3CECA5B1" w14:textId="2CBB06A9" w:rsidR="00313370" w:rsidRDefault="003615F6" w:rsidP="003615F6">
      <w:pPr>
        <w:spacing w:after="0"/>
        <w:rPr>
          <w:sz w:val="18"/>
          <w:szCs w:val="18"/>
        </w:rPr>
      </w:pPr>
      <w:r w:rsidRPr="003615F6">
        <w:rPr>
          <w:sz w:val="18"/>
          <w:szCs w:val="18"/>
        </w:rPr>
        <w:t>[6]</w:t>
      </w:r>
      <w:r w:rsidR="00313370">
        <w:rPr>
          <w:sz w:val="18"/>
          <w:szCs w:val="18"/>
        </w:rPr>
        <w:t xml:space="preserve"> </w:t>
      </w:r>
      <w:r w:rsidR="00313370" w:rsidRPr="007E653C">
        <w:rPr>
          <w:sz w:val="18"/>
          <w:szCs w:val="18"/>
        </w:rPr>
        <w:t>The Medical Protection Society (Access to Health Records)</w:t>
      </w:r>
      <w:r>
        <w:rPr>
          <w:sz w:val="18"/>
          <w:szCs w:val="18"/>
        </w:rPr>
        <w:t xml:space="preserve"> </w:t>
      </w:r>
      <w:hyperlink r:id="rId21" w:history="1">
        <w:r w:rsidRPr="00872319">
          <w:rPr>
            <w:rStyle w:val="Hyperlink"/>
            <w:rFonts w:cstheme="minorHAnsi"/>
            <w:sz w:val="18"/>
            <w:szCs w:val="18"/>
          </w:rPr>
          <w:t>https://healthplan.co.uk/blog/access-medical-record/</w:t>
        </w:r>
      </w:hyperlink>
      <w:r w:rsidRPr="00872319">
        <w:rPr>
          <w:rFonts w:cstheme="minorHAnsi"/>
          <w:sz w:val="18"/>
          <w:szCs w:val="18"/>
        </w:rPr>
        <w:t xml:space="preserve"> </w:t>
      </w:r>
      <w:hyperlink r:id="rId22" w:history="1"/>
    </w:p>
    <w:p w14:paraId="76756CCD" w14:textId="77777777" w:rsidR="00313370" w:rsidRPr="007E653C" w:rsidRDefault="00313370" w:rsidP="00313370">
      <w:pPr>
        <w:pStyle w:val="EndnoteText"/>
        <w:rPr>
          <w:sz w:val="18"/>
          <w:szCs w:val="18"/>
        </w:rPr>
      </w:pPr>
    </w:p>
    <w:p w14:paraId="11DBE1CC" w14:textId="1DFB51A5" w:rsidR="00313370" w:rsidRPr="007E653C" w:rsidRDefault="00313370" w:rsidP="00313370">
      <w:pPr>
        <w:pStyle w:val="EndnoteText"/>
        <w:rPr>
          <w:sz w:val="18"/>
          <w:szCs w:val="18"/>
        </w:rPr>
      </w:pPr>
      <w:r w:rsidRPr="003615F6">
        <w:rPr>
          <w:sz w:val="18"/>
          <w:szCs w:val="18"/>
        </w:rPr>
        <w:t>[</w:t>
      </w:r>
      <w:r w:rsidR="003615F6" w:rsidRPr="003615F6">
        <w:rPr>
          <w:sz w:val="18"/>
          <w:szCs w:val="18"/>
        </w:rPr>
        <w:t>7</w:t>
      </w:r>
      <w:r w:rsidRPr="003615F6">
        <w:rPr>
          <w:sz w:val="18"/>
          <w:szCs w:val="18"/>
        </w:rPr>
        <w:t>]</w:t>
      </w:r>
      <w:r>
        <w:rPr>
          <w:sz w:val="18"/>
          <w:szCs w:val="18"/>
        </w:rPr>
        <w:t xml:space="preserve"> Interview with Prof.</w:t>
      </w:r>
      <w:r w:rsidRPr="007E653C">
        <w:rPr>
          <w:sz w:val="18"/>
          <w:szCs w:val="18"/>
        </w:rPr>
        <w:t xml:space="preserve"> Patrick Pullicino, Consultant Neurol</w:t>
      </w:r>
      <w:r>
        <w:rPr>
          <w:sz w:val="18"/>
          <w:szCs w:val="18"/>
        </w:rPr>
        <w:t>ogist. Article pub. 23/7/</w:t>
      </w:r>
      <w:r w:rsidRPr="007E653C">
        <w:rPr>
          <w:sz w:val="18"/>
          <w:szCs w:val="18"/>
        </w:rPr>
        <w:t xml:space="preserve">16 </w:t>
      </w:r>
    </w:p>
    <w:p w14:paraId="3B72032F" w14:textId="77777777" w:rsidR="00313370" w:rsidRDefault="00313370" w:rsidP="00313370">
      <w:pPr>
        <w:pStyle w:val="EndnoteText"/>
        <w:jc w:val="center"/>
        <w:rPr>
          <w:rFonts w:cs="Times New Roman"/>
          <w:b/>
        </w:rPr>
      </w:pPr>
      <w:hyperlink r:id="rId23" w:history="1">
        <w:r w:rsidRPr="007E653C">
          <w:rPr>
            <w:rStyle w:val="Hyperlink"/>
            <w:sz w:val="18"/>
            <w:szCs w:val="18"/>
          </w:rPr>
          <w:t>http://www.dailymail.co.uk/news/article-3704954/Veteran-condemned-die-NHS-Doctors-leading-hospital-great-grandfather-chest-infection-notorious-death-pathway-wrongly-deciding-not-saved.html</w:t>
        </w:r>
      </w:hyperlink>
    </w:p>
    <w:p w14:paraId="1FF10522" w14:textId="77777777" w:rsidR="00313370" w:rsidRPr="003615F6" w:rsidRDefault="00313370" w:rsidP="00313370">
      <w:pPr>
        <w:rPr>
          <w:rFonts w:ascii="Arial" w:hAnsi="Arial" w:cs="Arial"/>
          <w:b/>
          <w:color w:val="FF0000"/>
          <w:sz w:val="20"/>
          <w:szCs w:val="20"/>
        </w:rPr>
      </w:pPr>
    </w:p>
    <w:p w14:paraId="7F4B9D55" w14:textId="77777777" w:rsidR="003615F6" w:rsidRPr="003615F6" w:rsidRDefault="003615F6" w:rsidP="003615F6">
      <w:pPr>
        <w:pStyle w:val="EndnoteText"/>
        <w:rPr>
          <w:rStyle w:val="Hyperlink"/>
          <w:color w:val="000000"/>
          <w:sz w:val="18"/>
          <w:szCs w:val="18"/>
          <w:u w:val="none"/>
        </w:rPr>
      </w:pPr>
      <w:r w:rsidRPr="003615F6">
        <w:rPr>
          <w:rStyle w:val="Hyperlink"/>
          <w:color w:val="000000"/>
          <w:sz w:val="18"/>
          <w:szCs w:val="18"/>
          <w:u w:val="none"/>
        </w:rPr>
        <w:t>[8) see publication Endnote 1, page 89</w:t>
      </w:r>
    </w:p>
    <w:p w14:paraId="41B60787" w14:textId="77777777" w:rsidR="003615F6" w:rsidRPr="00A73AF2" w:rsidRDefault="003615F6" w:rsidP="00313370">
      <w:pPr>
        <w:rPr>
          <w:rFonts w:ascii="Arial" w:hAnsi="Arial" w:cs="Arial"/>
          <w:b/>
          <w:color w:val="FF0000"/>
          <w:sz w:val="20"/>
          <w:szCs w:val="20"/>
        </w:rPr>
      </w:pPr>
    </w:p>
    <w:p w14:paraId="5570FA27" w14:textId="77777777" w:rsidR="00313370" w:rsidRDefault="00313370" w:rsidP="00313370">
      <w:pPr>
        <w:rPr>
          <w:rFonts w:ascii="Arial" w:hAnsi="Arial" w:cs="Arial"/>
          <w:b/>
          <w:color w:val="7030A0"/>
          <w:sz w:val="20"/>
          <w:szCs w:val="20"/>
        </w:rPr>
      </w:pPr>
    </w:p>
    <w:p w14:paraId="70CFBFCF" w14:textId="77777777" w:rsidR="00EF11A1" w:rsidRDefault="00EF11A1" w:rsidP="00313370">
      <w:pPr>
        <w:rPr>
          <w:rFonts w:ascii="Arial" w:hAnsi="Arial" w:cs="Arial"/>
          <w:b/>
          <w:color w:val="7030A0"/>
          <w:sz w:val="20"/>
          <w:szCs w:val="20"/>
        </w:rPr>
      </w:pPr>
    </w:p>
    <w:p w14:paraId="77E97E4C" w14:textId="77777777" w:rsidR="00EF11A1" w:rsidRDefault="00EF11A1" w:rsidP="00313370">
      <w:pPr>
        <w:rPr>
          <w:rFonts w:ascii="Arial" w:hAnsi="Arial" w:cs="Arial"/>
          <w:b/>
          <w:color w:val="7030A0"/>
          <w:sz w:val="20"/>
          <w:szCs w:val="20"/>
        </w:rPr>
      </w:pPr>
    </w:p>
    <w:p w14:paraId="54A32A21" w14:textId="4D77EF06" w:rsidR="00313370" w:rsidRDefault="00000000" w:rsidP="00313370">
      <w:pPr>
        <w:rPr>
          <w:rFonts w:ascii="Arial" w:hAnsi="Arial" w:cs="Arial"/>
          <w:b/>
          <w:color w:val="7030A0"/>
          <w:sz w:val="20"/>
          <w:szCs w:val="20"/>
        </w:rPr>
      </w:pPr>
      <w:r>
        <w:rPr>
          <w:sz w:val="24"/>
          <w:szCs w:val="24"/>
        </w:rPr>
        <w:pict w14:anchorId="30BE95C6">
          <v:group id="_x0000_s1042" style="position:absolute;margin-left:27pt;margin-top:9.55pt;width:396pt;height:414pt;z-index:251662336" coordorigin="10768,10663" coordsize="502,525">
            <v:rect id="_x0000_s1043" style="position:absolute;left:10768;top:10663;width:503;height:526;mso-wrap-distance-left:2.88pt;mso-wrap-distance-top:2.88pt;mso-wrap-distance-right:2.88pt;mso-wrap-distance-bottom:2.88pt" fillcolor="#dbeaed" strokecolor="black [0]" insetpen="t" o:cliptowrap="t">
              <v:fill opacity="58982f"/>
              <v:stroke>
                <o:left v:ext="view" color="black [0]"/>
                <o:top v:ext="view" color="black [0]"/>
                <o:right v:ext="view" color="black [0]"/>
                <o:bottom v:ext="view" color="black [0]"/>
                <o:column v:ext="view" color="black [0]"/>
              </v:stroke>
              <v:shadow color="#ccc"/>
              <v:textbox inset="2.88pt,2.88pt,2.88pt,2.88pt"/>
            </v:rect>
            <v:shape id="_x0000_s1044" type="#_x0000_t202" style="position:absolute;left:10791;top:10886;width:115;height:2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14:paraId="477AE1AF" w14:textId="77777777" w:rsidR="00776DC9" w:rsidRDefault="00776DC9" w:rsidP="00776DC9">
                    <w:pPr>
                      <w:widowControl w:val="0"/>
                      <w:jc w:val="center"/>
                      <w:rPr>
                        <w:rFonts w:ascii="Calibri" w:hAnsi="Calibri"/>
                        <w:b/>
                        <w:bCs/>
                        <w:sz w:val="24"/>
                        <w:szCs w:val="24"/>
                      </w:rPr>
                    </w:pPr>
                    <w:r>
                      <w:rPr>
                        <w:rFonts w:ascii="Calibri" w:hAnsi="Calibri"/>
                        <w:b/>
                        <w:bCs/>
                        <w:sz w:val="24"/>
                        <w:szCs w:val="24"/>
                      </w:rPr>
                      <w:t xml:space="preserve"> WATER</w:t>
                    </w:r>
                  </w:p>
                </w:txbxContent>
              </v:textbox>
            </v:shape>
            <v:shape id="_x0000_s1045" type="#_x0000_t202" style="position:absolute;left:10946;top:10886;width:114;height:3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14:paraId="7CD7B73E" w14:textId="77777777" w:rsidR="00776DC9" w:rsidRDefault="00776DC9" w:rsidP="00776DC9">
                    <w:pPr>
                      <w:widowControl w:val="0"/>
                      <w:jc w:val="center"/>
                      <w:rPr>
                        <w:rFonts w:ascii="Calibri" w:hAnsi="Calibri"/>
                        <w:b/>
                        <w:bCs/>
                        <w:sz w:val="24"/>
                        <w:szCs w:val="24"/>
                      </w:rPr>
                    </w:pPr>
                    <w:r>
                      <w:rPr>
                        <w:rFonts w:ascii="Calibri" w:hAnsi="Calibri"/>
                        <w:b/>
                        <w:bCs/>
                        <w:sz w:val="24"/>
                        <w:szCs w:val="24"/>
                      </w:rPr>
                      <w:t>JUICE</w:t>
                    </w:r>
                  </w:p>
                </w:txbxContent>
              </v:textbox>
            </v:shape>
            <v:shape id="_x0000_s1046" type="#_x0000_t202" style="position:absolute;left:11117;top:10880;width:114;height:2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14:paraId="13217206" w14:textId="77777777" w:rsidR="00776DC9" w:rsidRDefault="00776DC9" w:rsidP="00776DC9">
                    <w:pPr>
                      <w:widowControl w:val="0"/>
                      <w:jc w:val="center"/>
                      <w:rPr>
                        <w:rFonts w:ascii="Calibri" w:hAnsi="Calibri"/>
                        <w:b/>
                        <w:bCs/>
                      </w:rPr>
                    </w:pPr>
                    <w:r>
                      <w:rPr>
                        <w:rFonts w:ascii="Calibri" w:hAnsi="Calibri"/>
                        <w:b/>
                        <w:bCs/>
                      </w:rPr>
                      <w:t xml:space="preserve">   </w:t>
                    </w:r>
                    <w:r>
                      <w:rPr>
                        <w:rFonts w:ascii="Calibri" w:hAnsi="Calibri"/>
                        <w:b/>
                        <w:bCs/>
                        <w:sz w:val="24"/>
                        <w:szCs w:val="24"/>
                      </w:rPr>
                      <w:t>OATMEAL</w:t>
                    </w:r>
                  </w:p>
                  <w:p w14:paraId="05201C16" w14:textId="77777777" w:rsidR="00776DC9" w:rsidRDefault="00776DC9" w:rsidP="00776DC9">
                    <w:pPr>
                      <w:widowControl w:val="0"/>
                      <w:jc w:val="center"/>
                      <w:rPr>
                        <w:rFonts w:ascii="Calibri" w:hAnsi="Calibri"/>
                        <w:b/>
                        <w:bCs/>
                      </w:rPr>
                    </w:pPr>
                    <w:r>
                      <w:rPr>
                        <w:rFonts w:ascii="Calibri" w:hAnsi="Calibri"/>
                        <w:b/>
                        <w:bCs/>
                      </w:rPr>
                      <w:t> </w:t>
                    </w:r>
                  </w:p>
                </w:txbxContent>
              </v:textbox>
            </v:shape>
            <v:shape id="_x0000_s1047" type="#_x0000_t202" style="position:absolute;left:10791;top:11126;width:115;height:31;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14:paraId="6EAD4C22" w14:textId="77777777" w:rsidR="00776DC9" w:rsidRDefault="00776DC9" w:rsidP="00776DC9">
                    <w:pPr>
                      <w:widowControl w:val="0"/>
                      <w:jc w:val="center"/>
                      <w:rPr>
                        <w:rFonts w:ascii="Calibri" w:hAnsi="Calibri"/>
                        <w:b/>
                        <w:bCs/>
                      </w:rPr>
                    </w:pPr>
                    <w:r>
                      <w:rPr>
                        <w:rFonts w:ascii="Calibri" w:hAnsi="Calibri"/>
                        <w:b/>
                        <w:bCs/>
                      </w:rPr>
                      <w:t xml:space="preserve">   </w:t>
                    </w:r>
                    <w:r>
                      <w:rPr>
                        <w:rFonts w:ascii="Calibri" w:hAnsi="Calibri"/>
                        <w:b/>
                        <w:bCs/>
                        <w:sz w:val="24"/>
                        <w:szCs w:val="24"/>
                      </w:rPr>
                      <w:t>ICE CREAM</w:t>
                    </w:r>
                  </w:p>
                </w:txbxContent>
              </v:textbox>
            </v:shape>
            <v:shape id="_x0000_s1048" type="#_x0000_t202" style="position:absolute;left:11123;top:11120;width:114;height:3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14:paraId="2AC2254C" w14:textId="77777777" w:rsidR="00776DC9" w:rsidRDefault="00776DC9" w:rsidP="00776DC9">
                    <w:pPr>
                      <w:widowControl w:val="0"/>
                      <w:jc w:val="center"/>
                      <w:rPr>
                        <w:rFonts w:ascii="Calibri" w:hAnsi="Calibri"/>
                        <w:b/>
                        <w:bCs/>
                        <w:sz w:val="24"/>
                        <w:szCs w:val="24"/>
                      </w:rPr>
                    </w:pPr>
                    <w:r>
                      <w:rPr>
                        <w:rFonts w:ascii="Calibri" w:hAnsi="Calibri"/>
                        <w:b/>
                        <w:bCs/>
                        <w:sz w:val="24"/>
                        <w:szCs w:val="24"/>
                      </w:rPr>
                      <w:t>EGGS</w:t>
                    </w:r>
                  </w:p>
                </w:txbxContent>
              </v:textbox>
            </v:shape>
            <v:shape id="_x0000_s1049" type="#_x0000_t202" style="position:absolute;left:10951;top:11097;width:115;height:29;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14:paraId="0E2D69CA" w14:textId="77777777" w:rsidR="00776DC9" w:rsidRDefault="00776DC9" w:rsidP="00776DC9">
                    <w:pPr>
                      <w:widowControl w:val="0"/>
                      <w:jc w:val="center"/>
                      <w:rPr>
                        <w:rFonts w:ascii="Calibri" w:hAnsi="Calibri"/>
                        <w:b/>
                        <w:bCs/>
                        <w:sz w:val="24"/>
                        <w:szCs w:val="24"/>
                      </w:rPr>
                    </w:pPr>
                    <w:r>
                      <w:rPr>
                        <w:rFonts w:ascii="Calibri" w:hAnsi="Calibri"/>
                        <w:b/>
                        <w:bCs/>
                        <w:sz w:val="24"/>
                        <w:szCs w:val="24"/>
                      </w:rPr>
                      <w:t>BANANA</w:t>
                    </w:r>
                  </w:p>
                </w:txbxContent>
              </v:textbox>
            </v:shape>
            <v:rect id="_x0000_s1050" style="position:absolute;left:10934;top:10971;width:160;height:96;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24" o:title="Banana"/>
              <v:shadow color="#ccc"/>
              <v:path o:extrusionok="f"/>
              <o:lock v:ext="edit" aspectratio="t"/>
            </v:rect>
            <v:rect id="_x0000_s1051" style="position:absolute;left:10786;top:10948;width:132;height:161;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25" o:title="Ice cream"/>
              <v:shadow color="#ccc"/>
              <v:path o:extrusionok="f"/>
              <o:lock v:ext="edit" aspectratio="t"/>
            </v:rect>
            <v:rect id="_x0000_s1052" style="position:absolute;left:11089;top:10726;width:165;height:137;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26" o:title="Oatmeal"/>
              <v:shadow color="#ccc"/>
              <v:path o:extrusionok="f"/>
              <o:lock v:ext="edit" aspectratio="t"/>
            </v:rect>
            <v:rect id="_x0000_s1053" style="position:absolute;left:10791;top:10686;width:122;height:188;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27" o:title="Water"/>
              <v:shadow color="#ccc"/>
              <v:path o:extrusionok="f"/>
              <o:lock v:ext="edit" aspectratio="t"/>
            </v:rect>
            <v:rect id="_x0000_s1054" style="position:absolute;left:10934;top:10712;width:139;height:154;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28" o:title="Juice"/>
              <v:shadow color="#ccc"/>
              <v:path o:extrusionok="f"/>
              <o:lock v:ext="edit" aspectratio="t"/>
            </v:rect>
            <v:rect id="_x0000_s1055" style="position:absolute;left:11111;top:10971;width:143;height:132;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29" o:title="Eggs"/>
              <v:shadow color="#ccc"/>
              <v:path o:extrusionok="f"/>
              <o:lock v:ext="edit" aspectratio="t"/>
            </v:rect>
          </v:group>
        </w:pict>
      </w:r>
    </w:p>
    <w:p w14:paraId="12941519" w14:textId="77777777" w:rsidR="00313370" w:rsidRDefault="00313370" w:rsidP="00313370">
      <w:pPr>
        <w:rPr>
          <w:rFonts w:ascii="Arial" w:hAnsi="Arial" w:cs="Arial"/>
          <w:b/>
          <w:color w:val="7030A0"/>
          <w:sz w:val="20"/>
          <w:szCs w:val="20"/>
        </w:rPr>
      </w:pPr>
    </w:p>
    <w:p w14:paraId="55FA2324" w14:textId="77777777" w:rsidR="00313370" w:rsidRDefault="00313370" w:rsidP="00313370">
      <w:pPr>
        <w:rPr>
          <w:rFonts w:ascii="Arial" w:hAnsi="Arial" w:cs="Arial"/>
          <w:b/>
          <w:color w:val="7030A0"/>
          <w:sz w:val="20"/>
          <w:szCs w:val="20"/>
        </w:rPr>
      </w:pPr>
    </w:p>
    <w:p w14:paraId="78230BB8" w14:textId="77777777" w:rsidR="00313370" w:rsidRDefault="00313370" w:rsidP="00313370">
      <w:pPr>
        <w:rPr>
          <w:rFonts w:ascii="Arial" w:hAnsi="Arial" w:cs="Arial"/>
          <w:b/>
          <w:color w:val="7030A0"/>
          <w:sz w:val="20"/>
          <w:szCs w:val="20"/>
        </w:rPr>
      </w:pPr>
    </w:p>
    <w:p w14:paraId="73858468" w14:textId="77777777" w:rsidR="00313370" w:rsidRDefault="00313370" w:rsidP="00313370">
      <w:pPr>
        <w:rPr>
          <w:rFonts w:ascii="Arial" w:hAnsi="Arial" w:cs="Arial"/>
          <w:b/>
          <w:color w:val="7030A0"/>
          <w:sz w:val="20"/>
          <w:szCs w:val="20"/>
        </w:rPr>
      </w:pPr>
    </w:p>
    <w:p w14:paraId="64357FA4" w14:textId="77777777" w:rsidR="00313370" w:rsidRDefault="00313370" w:rsidP="00313370">
      <w:pPr>
        <w:rPr>
          <w:rFonts w:ascii="Arial" w:hAnsi="Arial" w:cs="Arial"/>
          <w:b/>
          <w:color w:val="7030A0"/>
          <w:sz w:val="20"/>
          <w:szCs w:val="20"/>
        </w:rPr>
      </w:pPr>
    </w:p>
    <w:p w14:paraId="736EAC23" w14:textId="77777777" w:rsidR="00313370" w:rsidRDefault="00313370" w:rsidP="00313370">
      <w:pPr>
        <w:rPr>
          <w:rFonts w:ascii="Arial" w:hAnsi="Arial" w:cs="Arial"/>
          <w:b/>
          <w:color w:val="7030A0"/>
          <w:sz w:val="20"/>
          <w:szCs w:val="20"/>
        </w:rPr>
      </w:pPr>
    </w:p>
    <w:p w14:paraId="77CEBAB0" w14:textId="77777777" w:rsidR="00313370" w:rsidRDefault="00313370" w:rsidP="00313370">
      <w:pPr>
        <w:rPr>
          <w:rFonts w:ascii="Arial" w:hAnsi="Arial" w:cs="Arial"/>
          <w:b/>
          <w:color w:val="7030A0"/>
          <w:sz w:val="20"/>
          <w:szCs w:val="20"/>
        </w:rPr>
      </w:pPr>
    </w:p>
    <w:p w14:paraId="50DCFB6E" w14:textId="77777777" w:rsidR="00313370" w:rsidRDefault="00313370" w:rsidP="00313370">
      <w:pPr>
        <w:rPr>
          <w:rFonts w:ascii="Arial" w:hAnsi="Arial" w:cs="Arial"/>
          <w:b/>
          <w:color w:val="7030A0"/>
          <w:sz w:val="20"/>
          <w:szCs w:val="20"/>
        </w:rPr>
      </w:pPr>
    </w:p>
    <w:p w14:paraId="48A690CA" w14:textId="77777777" w:rsidR="00313370" w:rsidRDefault="00313370" w:rsidP="00313370">
      <w:pPr>
        <w:rPr>
          <w:rFonts w:ascii="Arial" w:hAnsi="Arial" w:cs="Arial"/>
          <w:b/>
          <w:color w:val="7030A0"/>
          <w:sz w:val="20"/>
          <w:szCs w:val="20"/>
        </w:rPr>
      </w:pPr>
    </w:p>
    <w:p w14:paraId="390D6974" w14:textId="77777777" w:rsidR="00313370" w:rsidRDefault="00313370" w:rsidP="00313370">
      <w:pPr>
        <w:rPr>
          <w:rFonts w:ascii="Arial" w:hAnsi="Arial" w:cs="Arial"/>
          <w:b/>
          <w:color w:val="7030A0"/>
          <w:sz w:val="20"/>
          <w:szCs w:val="20"/>
        </w:rPr>
      </w:pPr>
    </w:p>
    <w:p w14:paraId="52935956" w14:textId="77777777" w:rsidR="00313370" w:rsidRDefault="00313370" w:rsidP="00313370">
      <w:pPr>
        <w:rPr>
          <w:rFonts w:ascii="Arial" w:hAnsi="Arial" w:cs="Arial"/>
          <w:b/>
          <w:color w:val="7030A0"/>
          <w:sz w:val="20"/>
          <w:szCs w:val="20"/>
        </w:rPr>
      </w:pPr>
    </w:p>
    <w:p w14:paraId="79D71C0B" w14:textId="77777777" w:rsidR="00313370" w:rsidRDefault="00313370" w:rsidP="00313370">
      <w:pPr>
        <w:rPr>
          <w:rFonts w:ascii="Arial" w:hAnsi="Arial" w:cs="Arial"/>
          <w:b/>
          <w:color w:val="7030A0"/>
          <w:sz w:val="20"/>
          <w:szCs w:val="20"/>
        </w:rPr>
      </w:pPr>
    </w:p>
    <w:p w14:paraId="4C5BD01A" w14:textId="77777777" w:rsidR="00313370" w:rsidRDefault="00313370" w:rsidP="00313370">
      <w:pPr>
        <w:rPr>
          <w:rFonts w:ascii="Arial" w:hAnsi="Arial" w:cs="Arial"/>
          <w:b/>
          <w:color w:val="7030A0"/>
          <w:sz w:val="20"/>
          <w:szCs w:val="20"/>
        </w:rPr>
      </w:pPr>
    </w:p>
    <w:p w14:paraId="794B43E4" w14:textId="77777777" w:rsidR="00313370" w:rsidRDefault="00313370" w:rsidP="00313370">
      <w:pPr>
        <w:rPr>
          <w:rFonts w:ascii="Arial" w:hAnsi="Arial" w:cs="Arial"/>
          <w:b/>
          <w:color w:val="7030A0"/>
          <w:sz w:val="20"/>
          <w:szCs w:val="20"/>
        </w:rPr>
      </w:pPr>
    </w:p>
    <w:p w14:paraId="577888D9" w14:textId="77777777" w:rsidR="00313370" w:rsidRDefault="00313370" w:rsidP="00313370">
      <w:pPr>
        <w:rPr>
          <w:rFonts w:ascii="Arial" w:hAnsi="Arial" w:cs="Arial"/>
          <w:b/>
          <w:color w:val="7030A0"/>
          <w:sz w:val="20"/>
          <w:szCs w:val="20"/>
        </w:rPr>
      </w:pPr>
    </w:p>
    <w:p w14:paraId="4626D2F6" w14:textId="77777777" w:rsidR="00313370" w:rsidRDefault="00313370" w:rsidP="00313370">
      <w:pPr>
        <w:rPr>
          <w:rFonts w:ascii="Arial" w:hAnsi="Arial" w:cs="Arial"/>
          <w:b/>
          <w:color w:val="7030A0"/>
          <w:sz w:val="20"/>
          <w:szCs w:val="20"/>
        </w:rPr>
      </w:pPr>
    </w:p>
    <w:p w14:paraId="5A77F0F2" w14:textId="77777777" w:rsidR="00313370" w:rsidRDefault="00313370" w:rsidP="00313370">
      <w:pPr>
        <w:rPr>
          <w:rFonts w:ascii="Arial" w:hAnsi="Arial" w:cs="Arial"/>
          <w:b/>
          <w:color w:val="7030A0"/>
          <w:sz w:val="20"/>
          <w:szCs w:val="20"/>
        </w:rPr>
      </w:pPr>
    </w:p>
    <w:p w14:paraId="46635BFD" w14:textId="77777777" w:rsidR="00313370" w:rsidRDefault="00313370" w:rsidP="00313370">
      <w:pPr>
        <w:rPr>
          <w:rFonts w:ascii="Arial" w:hAnsi="Arial" w:cs="Arial"/>
          <w:b/>
          <w:color w:val="7030A0"/>
          <w:sz w:val="20"/>
          <w:szCs w:val="20"/>
        </w:rPr>
      </w:pPr>
    </w:p>
    <w:p w14:paraId="6CCCDE36" w14:textId="77777777" w:rsidR="00313370" w:rsidRDefault="00313370" w:rsidP="00313370">
      <w:pPr>
        <w:rPr>
          <w:rFonts w:ascii="Arial" w:hAnsi="Arial" w:cs="Arial"/>
          <w:b/>
          <w:color w:val="7030A0"/>
          <w:sz w:val="20"/>
          <w:szCs w:val="20"/>
        </w:rPr>
      </w:pPr>
    </w:p>
    <w:p w14:paraId="47335BE8" w14:textId="77777777" w:rsidR="00EF11A1" w:rsidRPr="002B4106" w:rsidRDefault="00EF11A1" w:rsidP="00EF11A1">
      <w:pPr>
        <w:pStyle w:val="EndnoteText"/>
        <w:jc w:val="center"/>
        <w:rPr>
          <w:rFonts w:cs="Times New Roman"/>
          <w:sz w:val="18"/>
          <w:szCs w:val="18"/>
        </w:rPr>
      </w:pPr>
      <w:r w:rsidRPr="002B4106">
        <w:rPr>
          <w:rFonts w:cs="Times New Roman"/>
          <w:sz w:val="18"/>
          <w:szCs w:val="18"/>
        </w:rPr>
        <w:t>With grateful thanks to the doctors and nurses who contributed to this booklet</w:t>
      </w:r>
    </w:p>
    <w:p w14:paraId="1859B6B7" w14:textId="77777777" w:rsidR="00EF11A1" w:rsidRPr="00BE1307" w:rsidRDefault="00EF11A1" w:rsidP="00EF11A1">
      <w:pPr>
        <w:pStyle w:val="EndnoteText"/>
        <w:jc w:val="center"/>
        <w:rPr>
          <w:rFonts w:cs="Times New Roman"/>
        </w:rPr>
      </w:pPr>
    </w:p>
    <w:p w14:paraId="44C33F61" w14:textId="77777777" w:rsidR="00EF11A1" w:rsidRPr="004D1920" w:rsidRDefault="00EF11A1" w:rsidP="00EF11A1">
      <w:pPr>
        <w:jc w:val="center"/>
        <w:rPr>
          <w:b/>
          <w:bCs/>
          <w:sz w:val="28"/>
          <w:szCs w:val="28"/>
        </w:rPr>
      </w:pPr>
      <w:r w:rsidRPr="004D1920">
        <w:rPr>
          <w:b/>
          <w:bCs/>
          <w:sz w:val="28"/>
          <w:szCs w:val="28"/>
        </w:rPr>
        <w:t>In memory of Hazel Turner</w:t>
      </w:r>
    </w:p>
    <w:p w14:paraId="11634F39" w14:textId="77777777" w:rsidR="00EF11A1" w:rsidRPr="002B4106" w:rsidRDefault="00EF11A1" w:rsidP="004D1920">
      <w:pPr>
        <w:spacing w:after="0" w:line="240" w:lineRule="auto"/>
        <w:jc w:val="center"/>
        <w:rPr>
          <w:sz w:val="18"/>
          <w:szCs w:val="18"/>
        </w:rPr>
      </w:pPr>
      <w:r w:rsidRPr="002B4106">
        <w:rPr>
          <w:sz w:val="18"/>
          <w:szCs w:val="18"/>
        </w:rPr>
        <w:t>Produced by The Grace Charity for M.E. reg. 1117058  Copyright  2017</w:t>
      </w:r>
      <w:r>
        <w:rPr>
          <w:sz w:val="18"/>
          <w:szCs w:val="18"/>
        </w:rPr>
        <w:t>, 2020, 2024</w:t>
      </w:r>
    </w:p>
    <w:p w14:paraId="29E2EF29" w14:textId="4D06C727" w:rsidR="00EF11A1" w:rsidRPr="002B4106" w:rsidRDefault="00EF11A1" w:rsidP="004D1920">
      <w:pPr>
        <w:spacing w:line="240" w:lineRule="auto"/>
        <w:jc w:val="center"/>
        <w:rPr>
          <w:sz w:val="18"/>
          <w:szCs w:val="18"/>
        </w:rPr>
      </w:pPr>
      <w:r w:rsidRPr="002B4106">
        <w:rPr>
          <w:sz w:val="18"/>
          <w:szCs w:val="18"/>
        </w:rPr>
        <w:t>Permission given to freely distribute in any form provided sources acknowledged and content unchanged.</w:t>
      </w:r>
      <w:r>
        <w:rPr>
          <w:sz w:val="18"/>
          <w:szCs w:val="18"/>
        </w:rPr>
        <w:t xml:space="preserve"> Download from </w:t>
      </w:r>
      <w:hyperlink r:id="rId30" w:history="1">
        <w:r w:rsidRPr="00BD5FCF">
          <w:rPr>
            <w:rStyle w:val="Hyperlink"/>
            <w:sz w:val="18"/>
            <w:szCs w:val="18"/>
          </w:rPr>
          <w:t>www.thegracecharityforme.org/hazel-and-the-lcp</w:t>
        </w:r>
      </w:hyperlink>
    </w:p>
    <w:p w14:paraId="01FDCD3E" w14:textId="77777777" w:rsidR="00EF11A1" w:rsidRPr="00BE1307" w:rsidRDefault="00EF11A1" w:rsidP="004D1920">
      <w:pPr>
        <w:pStyle w:val="EndnoteText"/>
        <w:jc w:val="center"/>
        <w:rPr>
          <w:sz w:val="18"/>
          <w:szCs w:val="18"/>
        </w:rPr>
      </w:pPr>
      <w:r w:rsidRPr="00BE1307">
        <w:rPr>
          <w:sz w:val="18"/>
          <w:szCs w:val="18"/>
        </w:rPr>
        <w:t>Disclaimer</w:t>
      </w:r>
      <w:r>
        <w:rPr>
          <w:sz w:val="18"/>
          <w:szCs w:val="18"/>
        </w:rPr>
        <w:t xml:space="preserve">: </w:t>
      </w:r>
      <w:r w:rsidRPr="00BE1307">
        <w:rPr>
          <w:sz w:val="18"/>
          <w:szCs w:val="18"/>
        </w:rPr>
        <w:t xml:space="preserve"> Although this information is intended to save lives, The Grace Charity for M.E. does not accept responsibility for negative outcomes linked to this booklet.</w:t>
      </w:r>
    </w:p>
    <w:p w14:paraId="00B772BC" w14:textId="77777777" w:rsidR="00EF11A1" w:rsidRDefault="00EF11A1" w:rsidP="004D1920">
      <w:pPr>
        <w:pStyle w:val="EndnoteText"/>
        <w:jc w:val="center"/>
        <w:rPr>
          <w:sz w:val="18"/>
          <w:szCs w:val="18"/>
        </w:rPr>
      </w:pPr>
    </w:p>
    <w:p w14:paraId="0A75ADA3" w14:textId="77777777" w:rsidR="00313370" w:rsidRDefault="00313370" w:rsidP="004D1920">
      <w:pPr>
        <w:pStyle w:val="EndnoteText"/>
        <w:jc w:val="center"/>
        <w:rPr>
          <w:rFonts w:cs="Times New Roman"/>
        </w:rPr>
      </w:pPr>
    </w:p>
    <w:sectPr w:rsidR="00313370" w:rsidSect="00286661">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3C00B" w14:textId="77777777" w:rsidR="003615FA" w:rsidRDefault="003615FA" w:rsidP="00FF1EB5">
      <w:pPr>
        <w:spacing w:after="0" w:line="240" w:lineRule="auto"/>
      </w:pPr>
      <w:r>
        <w:separator/>
      </w:r>
    </w:p>
  </w:endnote>
  <w:endnote w:type="continuationSeparator" w:id="0">
    <w:p w14:paraId="495D470B" w14:textId="77777777" w:rsidR="003615FA" w:rsidRDefault="003615FA" w:rsidP="00FF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EE7B9" w14:textId="77777777" w:rsidR="003615FA" w:rsidRDefault="003615FA" w:rsidP="00FF1EB5">
      <w:pPr>
        <w:spacing w:after="0" w:line="240" w:lineRule="auto"/>
      </w:pPr>
      <w:r>
        <w:separator/>
      </w:r>
    </w:p>
  </w:footnote>
  <w:footnote w:type="continuationSeparator" w:id="0">
    <w:p w14:paraId="0D28B0C4" w14:textId="77777777" w:rsidR="003615FA" w:rsidRDefault="003615FA" w:rsidP="00FF1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3370"/>
    <w:rsid w:val="0004115F"/>
    <w:rsid w:val="00054775"/>
    <w:rsid w:val="00055E78"/>
    <w:rsid w:val="000A3140"/>
    <w:rsid w:val="000A74EA"/>
    <w:rsid w:val="000C7E86"/>
    <w:rsid w:val="000D32AD"/>
    <w:rsid w:val="000E2B8D"/>
    <w:rsid w:val="0011152F"/>
    <w:rsid w:val="001223FB"/>
    <w:rsid w:val="0012749A"/>
    <w:rsid w:val="001813F0"/>
    <w:rsid w:val="00197160"/>
    <w:rsid w:val="00232E92"/>
    <w:rsid w:val="00251A60"/>
    <w:rsid w:val="00270AE1"/>
    <w:rsid w:val="00286661"/>
    <w:rsid w:val="002A6453"/>
    <w:rsid w:val="002D2FB6"/>
    <w:rsid w:val="002D3DE8"/>
    <w:rsid w:val="00313370"/>
    <w:rsid w:val="00347F97"/>
    <w:rsid w:val="0035466B"/>
    <w:rsid w:val="003615F6"/>
    <w:rsid w:val="003615FA"/>
    <w:rsid w:val="00382727"/>
    <w:rsid w:val="003D392C"/>
    <w:rsid w:val="004622AF"/>
    <w:rsid w:val="0047677B"/>
    <w:rsid w:val="004B14F4"/>
    <w:rsid w:val="004D1920"/>
    <w:rsid w:val="004F1BAF"/>
    <w:rsid w:val="0056287E"/>
    <w:rsid w:val="005B5CD2"/>
    <w:rsid w:val="005F640A"/>
    <w:rsid w:val="00635CB8"/>
    <w:rsid w:val="00660DE1"/>
    <w:rsid w:val="00695ABB"/>
    <w:rsid w:val="006A1BE4"/>
    <w:rsid w:val="006A5F7D"/>
    <w:rsid w:val="006B0218"/>
    <w:rsid w:val="006F2015"/>
    <w:rsid w:val="007367DF"/>
    <w:rsid w:val="00776DC9"/>
    <w:rsid w:val="007F0545"/>
    <w:rsid w:val="00852D7A"/>
    <w:rsid w:val="00916529"/>
    <w:rsid w:val="009201F5"/>
    <w:rsid w:val="009739DC"/>
    <w:rsid w:val="009A4DD2"/>
    <w:rsid w:val="00A20D58"/>
    <w:rsid w:val="00A252B6"/>
    <w:rsid w:val="00A73AF2"/>
    <w:rsid w:val="00AA0B0D"/>
    <w:rsid w:val="00AF6477"/>
    <w:rsid w:val="00B003C4"/>
    <w:rsid w:val="00B20809"/>
    <w:rsid w:val="00C36826"/>
    <w:rsid w:val="00C42487"/>
    <w:rsid w:val="00C60AAD"/>
    <w:rsid w:val="00C6221A"/>
    <w:rsid w:val="00C75EBD"/>
    <w:rsid w:val="00C923F6"/>
    <w:rsid w:val="00C9355D"/>
    <w:rsid w:val="00D05E0A"/>
    <w:rsid w:val="00D27363"/>
    <w:rsid w:val="00D544B8"/>
    <w:rsid w:val="00D94712"/>
    <w:rsid w:val="00DD271F"/>
    <w:rsid w:val="00E27134"/>
    <w:rsid w:val="00EB6543"/>
    <w:rsid w:val="00EE37C7"/>
    <w:rsid w:val="00EF11A1"/>
    <w:rsid w:val="00F03B59"/>
    <w:rsid w:val="00F0566A"/>
    <w:rsid w:val="00F72FCB"/>
    <w:rsid w:val="00F7325C"/>
    <w:rsid w:val="00FF1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02D66B43"/>
  <w15:docId w15:val="{288194AB-7803-4CA3-A437-AB56D908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370"/>
    <w:rPr>
      <w:rFonts w:ascii="Tahoma" w:hAnsi="Tahoma" w:cs="Tahoma"/>
      <w:sz w:val="16"/>
      <w:szCs w:val="16"/>
    </w:rPr>
  </w:style>
  <w:style w:type="paragraph" w:styleId="ListParagraph">
    <w:name w:val="List Paragraph"/>
    <w:basedOn w:val="Normal"/>
    <w:uiPriority w:val="34"/>
    <w:qFormat/>
    <w:rsid w:val="00313370"/>
    <w:pPr>
      <w:ind w:left="720"/>
      <w:contextualSpacing/>
    </w:pPr>
  </w:style>
  <w:style w:type="character" w:styleId="Hyperlink">
    <w:name w:val="Hyperlink"/>
    <w:basedOn w:val="DefaultParagraphFont"/>
    <w:uiPriority w:val="99"/>
    <w:unhideWhenUsed/>
    <w:rsid w:val="00313370"/>
    <w:rPr>
      <w:color w:val="0000FF" w:themeColor="hyperlink"/>
      <w:u w:val="single"/>
    </w:rPr>
  </w:style>
  <w:style w:type="paragraph" w:styleId="EndnoteText">
    <w:name w:val="endnote text"/>
    <w:basedOn w:val="Normal"/>
    <w:link w:val="EndnoteTextChar"/>
    <w:uiPriority w:val="99"/>
    <w:unhideWhenUsed/>
    <w:rsid w:val="00313370"/>
    <w:pPr>
      <w:spacing w:after="0" w:line="240" w:lineRule="auto"/>
    </w:pPr>
    <w:rPr>
      <w:sz w:val="20"/>
      <w:szCs w:val="20"/>
    </w:rPr>
  </w:style>
  <w:style w:type="character" w:customStyle="1" w:styleId="EndnoteTextChar">
    <w:name w:val="Endnote Text Char"/>
    <w:basedOn w:val="DefaultParagraphFont"/>
    <w:link w:val="EndnoteText"/>
    <w:uiPriority w:val="99"/>
    <w:rsid w:val="00313370"/>
    <w:rPr>
      <w:sz w:val="20"/>
      <w:szCs w:val="20"/>
    </w:rPr>
  </w:style>
  <w:style w:type="character" w:styleId="FollowedHyperlink">
    <w:name w:val="FollowedHyperlink"/>
    <w:basedOn w:val="DefaultParagraphFont"/>
    <w:uiPriority w:val="99"/>
    <w:semiHidden/>
    <w:unhideWhenUsed/>
    <w:rsid w:val="00C42487"/>
    <w:rPr>
      <w:color w:val="800080" w:themeColor="followedHyperlink"/>
      <w:u w:val="single"/>
    </w:rPr>
  </w:style>
  <w:style w:type="character" w:styleId="UnresolvedMention">
    <w:name w:val="Unresolved Mention"/>
    <w:basedOn w:val="DefaultParagraphFont"/>
    <w:uiPriority w:val="99"/>
    <w:semiHidden/>
    <w:unhideWhenUsed/>
    <w:rsid w:val="005B5CD2"/>
    <w:rPr>
      <w:color w:val="605E5C"/>
      <w:shd w:val="clear" w:color="auto" w:fill="E1DFDD"/>
    </w:rPr>
  </w:style>
  <w:style w:type="character" w:styleId="EndnoteReference">
    <w:name w:val="endnote reference"/>
    <w:basedOn w:val="DefaultParagraphFont"/>
    <w:uiPriority w:val="99"/>
    <w:semiHidden/>
    <w:unhideWhenUsed/>
    <w:rsid w:val="00FF1E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0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hydrationlifeline.org/" TargetMode="External"/><Relationship Id="rId13" Type="http://schemas.openxmlformats.org/officeDocument/2006/relationships/hyperlink" Target="http://www.prolifenurses.com" TargetMode="External"/><Relationship Id="rId18" Type="http://schemas.openxmlformats.org/officeDocument/2006/relationships/hyperlink" Target="https://www.nice.org.uk/guidance/ng31/chapter/Recommendations" TargetMode="External"/><Relationship Id="rId26" Type="http://schemas.openxmlformats.org/officeDocument/2006/relationships/image" Target="media/image5.jpeg"/><Relationship Id="rId3" Type="http://schemas.openxmlformats.org/officeDocument/2006/relationships/webSettings" Target="webSettings.xml"/><Relationship Id="rId21" Type="http://schemas.openxmlformats.org/officeDocument/2006/relationships/hyperlink" Target="https://healthplan.co.uk/blog/access-medical-record/" TargetMode="External"/><Relationship Id="rId7" Type="http://schemas.openxmlformats.org/officeDocument/2006/relationships/image" Target="media/image2.jpeg"/><Relationship Id="rId12" Type="http://schemas.openxmlformats.org/officeDocument/2006/relationships/hyperlink" Target="http://www.dehydrationlifeline.org" TargetMode="External"/><Relationship Id="rId17" Type="http://schemas.openxmlformats.org/officeDocument/2006/relationships/hyperlink" Target="http://www.nice.org.uk/guidance/qs13" TargetMode="External"/><Relationship Id="rId25"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s://vfjuk.org/when-end-of-life-care-goes-wrong-new-publication-available-now/" TargetMode="External"/><Relationship Id="rId20" Type="http://schemas.openxmlformats.org/officeDocument/2006/relationships/hyperlink" Target="http://www.thegracecharityforme.org./hazel-and-the-lcp/" TargetMode="External"/><Relationship Id="rId29"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ehydrationlifeline.org/" TargetMode="External"/><Relationship Id="rId24" Type="http://schemas.openxmlformats.org/officeDocument/2006/relationships/image" Target="media/image3.jpe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thegracecharityforme.org./hazel-and-the-lcp/" TargetMode="External"/><Relationship Id="rId23" Type="http://schemas.openxmlformats.org/officeDocument/2006/relationships/hyperlink" Target="http://www.dailymail.co.uk/news/article-3704954/Veteran-condemned-die-NHS-Doctors-leading-hospital-great-grandfather-chest-infection-notorious-death-pathway-wrongly-deciding-not-saved.html" TargetMode="External"/><Relationship Id="rId28" Type="http://schemas.openxmlformats.org/officeDocument/2006/relationships/image" Target="media/image7.jpeg"/><Relationship Id="rId10" Type="http://schemas.openxmlformats.org/officeDocument/2006/relationships/hyperlink" Target="https://bnf.nice.org.uk/drugs/midazolam/" TargetMode="External"/><Relationship Id="rId19" Type="http://schemas.openxmlformats.org/officeDocument/2006/relationships/hyperlink" Target="https://www.england.nhs.uk/south/wp-content/uploads/sites/6/2022/02/rockwood-frailty-scale_.pdf"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hegracecharityforme.org/hazel-and-the-lcp/" TargetMode="External"/><Relationship Id="rId14" Type="http://schemas.openxmlformats.org/officeDocument/2006/relationships/hyperlink" Target="https://www.prolifenurses.com/articles/" TargetMode="External"/><Relationship Id="rId22" Type="http://schemas.openxmlformats.org/officeDocument/2006/relationships/hyperlink" Target="https://www.medicalprotection.org/uk/resources/factsheets/england/england-factsheets/uk-eng-access-to-health-records" TargetMode="External"/><Relationship Id="rId27" Type="http://schemas.openxmlformats.org/officeDocument/2006/relationships/image" Target="media/image6.jpeg"/><Relationship Id="rId30" Type="http://schemas.openxmlformats.org/officeDocument/2006/relationships/hyperlink" Target="http://www.thegracecharityforme.org/hazel-and-the-l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Ashenfelter</cp:lastModifiedBy>
  <cp:revision>20</cp:revision>
  <cp:lastPrinted>2024-06-07T14:07:00Z</cp:lastPrinted>
  <dcterms:created xsi:type="dcterms:W3CDTF">2018-06-16T17:12:00Z</dcterms:created>
  <dcterms:modified xsi:type="dcterms:W3CDTF">2024-10-03T14:12:00Z</dcterms:modified>
</cp:coreProperties>
</file>